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646"/>
        <w:gridCol w:w="1543"/>
      </w:tblGrid>
      <w:tr w:rsidR="008F4D0A" w:rsidRPr="00FB02B7" w:rsidTr="007E6BF5">
        <w:tc>
          <w:tcPr>
            <w:tcW w:w="9576" w:type="dxa"/>
            <w:gridSpan w:val="3"/>
          </w:tcPr>
          <w:p w:rsidR="008F4D0A" w:rsidRPr="00FB02B7" w:rsidRDefault="008F4D0A" w:rsidP="007E6BF5">
            <w:pPr>
              <w:ind w:right="194"/>
              <w:rPr>
                <w:rFonts w:ascii="Cambria" w:hAnsi="Cambria" w:cs="Calibri"/>
                <w:b/>
                <w:sz w:val="22"/>
                <w:szCs w:val="22"/>
              </w:rPr>
            </w:pPr>
            <w:r w:rsidRPr="00FB02B7">
              <w:rPr>
                <w:rFonts w:ascii="Cambria" w:hAnsi="Cambria" w:cs="Calibri"/>
                <w:b/>
                <w:sz w:val="22"/>
                <w:szCs w:val="22"/>
              </w:rPr>
              <w:t xml:space="preserve">Name of University: </w:t>
            </w:r>
          </w:p>
          <w:p w:rsidR="008F4D0A" w:rsidRPr="00FB02B7" w:rsidRDefault="008F4D0A" w:rsidP="007E6BF5">
            <w:pPr>
              <w:ind w:right="194"/>
              <w:rPr>
                <w:rFonts w:ascii="Cambria" w:hAnsi="Cambria" w:cs="Calibri"/>
                <w:b/>
                <w:sz w:val="22"/>
                <w:szCs w:val="22"/>
              </w:rPr>
            </w:pPr>
            <w:r w:rsidRPr="00FB02B7">
              <w:rPr>
                <w:rFonts w:ascii="Cambria" w:hAnsi="Cambria" w:cs="Calibri"/>
                <w:b/>
                <w:sz w:val="22"/>
                <w:szCs w:val="22"/>
              </w:rPr>
              <w:t xml:space="preserve">Name of College/Faculty: </w:t>
            </w:r>
          </w:p>
          <w:p w:rsidR="008F4D0A" w:rsidRPr="00FB02B7" w:rsidRDefault="008F4D0A" w:rsidP="007E6BF5">
            <w:pPr>
              <w:rPr>
                <w:rFonts w:ascii="Cambria" w:hAnsi="Cambria"/>
                <w:sz w:val="22"/>
                <w:szCs w:val="22"/>
              </w:rPr>
            </w:pPr>
            <w:r w:rsidRPr="00FB02B7">
              <w:rPr>
                <w:rFonts w:ascii="Cambria" w:hAnsi="Cambria" w:cs="Calibri"/>
                <w:b/>
                <w:sz w:val="22"/>
                <w:szCs w:val="22"/>
              </w:rPr>
              <w:t>Name of Department: Accounting and Finance Program</w:t>
            </w:r>
          </w:p>
        </w:tc>
      </w:tr>
      <w:tr w:rsidR="008F4D0A" w:rsidRPr="00FB02B7" w:rsidTr="007E6BF5">
        <w:tc>
          <w:tcPr>
            <w:tcW w:w="9576" w:type="dxa"/>
            <w:gridSpan w:val="3"/>
            <w:shd w:val="clear" w:color="auto" w:fill="D9D9D9"/>
          </w:tcPr>
          <w:p w:rsidR="008F4D0A" w:rsidRPr="00FB02B7" w:rsidRDefault="008F4D0A" w:rsidP="007E6BF5">
            <w:pPr>
              <w:rPr>
                <w:rFonts w:ascii="Cambria" w:hAnsi="Cambria"/>
                <w:sz w:val="22"/>
                <w:szCs w:val="22"/>
              </w:rPr>
            </w:pPr>
            <w:r w:rsidRPr="00FB02B7">
              <w:rPr>
                <w:rFonts w:ascii="Cambria" w:hAnsi="Cambria" w:cs="Calibri"/>
                <w:b/>
                <w:sz w:val="20"/>
                <w:szCs w:val="20"/>
              </w:rPr>
              <w:t>Course Information</w:t>
            </w:r>
          </w:p>
        </w:tc>
      </w:tr>
      <w:tr w:rsidR="008F4D0A" w:rsidRPr="00FB02B7" w:rsidTr="007E6BF5">
        <w:tc>
          <w:tcPr>
            <w:tcW w:w="2226" w:type="dxa"/>
          </w:tcPr>
          <w:p w:rsidR="008F4D0A" w:rsidRPr="00FB02B7" w:rsidRDefault="008F4D0A" w:rsidP="007E6BF5">
            <w:pPr>
              <w:ind w:right="194"/>
              <w:jc w:val="both"/>
              <w:rPr>
                <w:rFonts w:ascii="Cambria" w:hAnsi="Cambria" w:cs="Calibri"/>
                <w:b/>
                <w:sz w:val="20"/>
                <w:szCs w:val="20"/>
              </w:rPr>
            </w:pPr>
            <w:r w:rsidRPr="00FB02B7">
              <w:rPr>
                <w:rFonts w:ascii="Cambria" w:hAnsi="Cambria" w:cs="Calibri"/>
                <w:b/>
                <w:sz w:val="20"/>
                <w:szCs w:val="20"/>
              </w:rPr>
              <w:t>Course Number</w:t>
            </w:r>
          </w:p>
        </w:tc>
        <w:tc>
          <w:tcPr>
            <w:tcW w:w="7350" w:type="dxa"/>
            <w:gridSpan w:val="2"/>
          </w:tcPr>
          <w:p w:rsidR="008F4D0A" w:rsidRPr="00FB02B7" w:rsidRDefault="008F4D0A" w:rsidP="007E6BF5">
            <w:pPr>
              <w:rPr>
                <w:rFonts w:ascii="Cambria" w:hAnsi="Cambria"/>
                <w:b/>
                <w:sz w:val="22"/>
                <w:szCs w:val="22"/>
              </w:rPr>
            </w:pPr>
            <w:r w:rsidRPr="00FB02B7">
              <w:rPr>
                <w:rFonts w:ascii="Cambria" w:hAnsi="Cambria" w:cs="Calibri"/>
                <w:b/>
                <w:sz w:val="22"/>
                <w:szCs w:val="22"/>
              </w:rPr>
              <w:t>AcFn3162</w:t>
            </w:r>
          </w:p>
        </w:tc>
      </w:tr>
      <w:tr w:rsidR="008F4D0A" w:rsidRPr="00FB02B7" w:rsidTr="007E6BF5">
        <w:tc>
          <w:tcPr>
            <w:tcW w:w="2226" w:type="dxa"/>
          </w:tcPr>
          <w:p w:rsidR="008F4D0A" w:rsidRPr="00FB02B7" w:rsidRDefault="008F4D0A" w:rsidP="007E6BF5">
            <w:pPr>
              <w:ind w:right="194"/>
              <w:jc w:val="both"/>
              <w:rPr>
                <w:rFonts w:ascii="Cambria" w:hAnsi="Cambria" w:cs="Calibri"/>
                <w:b/>
                <w:sz w:val="20"/>
                <w:szCs w:val="20"/>
              </w:rPr>
            </w:pPr>
            <w:r w:rsidRPr="00FB02B7">
              <w:rPr>
                <w:rFonts w:ascii="Cambria" w:hAnsi="Cambria" w:cs="Calibri"/>
                <w:b/>
                <w:sz w:val="20"/>
                <w:szCs w:val="20"/>
              </w:rPr>
              <w:t>Course Title</w:t>
            </w:r>
          </w:p>
        </w:tc>
        <w:tc>
          <w:tcPr>
            <w:tcW w:w="7350" w:type="dxa"/>
            <w:gridSpan w:val="2"/>
          </w:tcPr>
          <w:p w:rsidR="008F4D0A" w:rsidRPr="00FB02B7" w:rsidRDefault="008F4D0A" w:rsidP="007E6BF5">
            <w:pPr>
              <w:rPr>
                <w:rFonts w:ascii="Cambria" w:hAnsi="Cambria"/>
                <w:b/>
                <w:sz w:val="22"/>
                <w:szCs w:val="22"/>
              </w:rPr>
            </w:pPr>
            <w:r w:rsidRPr="00FB02B7">
              <w:rPr>
                <w:rFonts w:ascii="Cambria" w:hAnsi="Cambria" w:cs="Calibri"/>
                <w:b/>
                <w:sz w:val="22"/>
                <w:szCs w:val="22"/>
              </w:rPr>
              <w:t>Auditing Principles and Practices II</w:t>
            </w:r>
          </w:p>
        </w:tc>
      </w:tr>
      <w:tr w:rsidR="008F4D0A" w:rsidRPr="00FB02B7" w:rsidTr="007E6BF5">
        <w:tc>
          <w:tcPr>
            <w:tcW w:w="2226" w:type="dxa"/>
          </w:tcPr>
          <w:p w:rsidR="008F4D0A" w:rsidRPr="00FB02B7" w:rsidRDefault="008F4D0A" w:rsidP="007E6BF5">
            <w:pPr>
              <w:ind w:right="194"/>
              <w:jc w:val="both"/>
              <w:rPr>
                <w:rFonts w:ascii="Cambria" w:hAnsi="Cambria" w:cs="Calibri"/>
                <w:b/>
                <w:sz w:val="20"/>
                <w:szCs w:val="20"/>
              </w:rPr>
            </w:pPr>
            <w:r w:rsidRPr="00FB02B7">
              <w:rPr>
                <w:rFonts w:ascii="Cambria" w:hAnsi="Cambria" w:cs="Calibri"/>
                <w:b/>
                <w:sz w:val="20"/>
                <w:szCs w:val="20"/>
              </w:rPr>
              <w:t>Degree Program</w:t>
            </w:r>
          </w:p>
        </w:tc>
        <w:tc>
          <w:tcPr>
            <w:tcW w:w="7350" w:type="dxa"/>
            <w:gridSpan w:val="2"/>
          </w:tcPr>
          <w:p w:rsidR="008F4D0A" w:rsidRPr="00FB02B7" w:rsidRDefault="008F4D0A" w:rsidP="007E6BF5">
            <w:pPr>
              <w:rPr>
                <w:rFonts w:ascii="Cambria" w:hAnsi="Cambria"/>
                <w:sz w:val="22"/>
                <w:szCs w:val="22"/>
              </w:rPr>
            </w:pPr>
            <w:r w:rsidRPr="00FB02B7">
              <w:rPr>
                <w:rFonts w:ascii="Cambria" w:hAnsi="Cambria"/>
                <w:sz w:val="22"/>
                <w:szCs w:val="22"/>
              </w:rPr>
              <w:t xml:space="preserve">BA Degree in Accounting and Finance </w:t>
            </w:r>
          </w:p>
        </w:tc>
      </w:tr>
      <w:tr w:rsidR="008F4D0A" w:rsidRPr="00FB02B7" w:rsidTr="007E6BF5">
        <w:tc>
          <w:tcPr>
            <w:tcW w:w="2226" w:type="dxa"/>
          </w:tcPr>
          <w:p w:rsidR="008F4D0A" w:rsidRPr="00FB02B7" w:rsidRDefault="008F4D0A" w:rsidP="007E6BF5">
            <w:pPr>
              <w:ind w:right="194"/>
              <w:jc w:val="both"/>
              <w:rPr>
                <w:rFonts w:ascii="Cambria" w:hAnsi="Cambria" w:cs="Calibri"/>
                <w:b/>
                <w:sz w:val="20"/>
                <w:szCs w:val="20"/>
              </w:rPr>
            </w:pPr>
            <w:r w:rsidRPr="00FB02B7">
              <w:rPr>
                <w:rFonts w:ascii="Cambria" w:hAnsi="Cambria" w:cs="Calibri"/>
                <w:b/>
                <w:sz w:val="20"/>
                <w:szCs w:val="20"/>
              </w:rPr>
              <w:t>Module No and Code</w:t>
            </w:r>
          </w:p>
        </w:tc>
        <w:tc>
          <w:tcPr>
            <w:tcW w:w="7350" w:type="dxa"/>
            <w:gridSpan w:val="2"/>
          </w:tcPr>
          <w:p w:rsidR="008F4D0A" w:rsidRPr="00FB02B7" w:rsidRDefault="008F4D0A" w:rsidP="007E6BF5">
            <w:pPr>
              <w:rPr>
                <w:rFonts w:ascii="Cambria" w:hAnsi="Cambria"/>
                <w:sz w:val="22"/>
                <w:szCs w:val="22"/>
              </w:rPr>
            </w:pPr>
            <w:r w:rsidRPr="00FB02B7">
              <w:rPr>
                <w:rFonts w:ascii="Cambria" w:hAnsi="Cambria"/>
                <w:sz w:val="22"/>
                <w:szCs w:val="22"/>
              </w:rPr>
              <w:t>M16; AcFn-M3161</w:t>
            </w:r>
          </w:p>
        </w:tc>
      </w:tr>
      <w:tr w:rsidR="008F4D0A" w:rsidRPr="00FB02B7" w:rsidTr="007E6BF5">
        <w:tc>
          <w:tcPr>
            <w:tcW w:w="2226" w:type="dxa"/>
          </w:tcPr>
          <w:p w:rsidR="008F4D0A" w:rsidRPr="00FB02B7" w:rsidRDefault="008F4D0A" w:rsidP="007E6BF5">
            <w:pPr>
              <w:ind w:right="194"/>
              <w:jc w:val="both"/>
              <w:rPr>
                <w:rFonts w:ascii="Cambria" w:hAnsi="Cambria" w:cs="Calibri"/>
                <w:b/>
                <w:sz w:val="20"/>
                <w:szCs w:val="20"/>
              </w:rPr>
            </w:pPr>
            <w:r w:rsidRPr="00FB02B7">
              <w:rPr>
                <w:rFonts w:ascii="Cambria" w:hAnsi="Cambria" w:cs="Calibri"/>
                <w:b/>
                <w:sz w:val="20"/>
                <w:szCs w:val="20"/>
              </w:rPr>
              <w:t>Module Coordinator</w:t>
            </w:r>
          </w:p>
        </w:tc>
        <w:tc>
          <w:tcPr>
            <w:tcW w:w="7350" w:type="dxa"/>
            <w:gridSpan w:val="2"/>
          </w:tcPr>
          <w:p w:rsidR="008F4D0A" w:rsidRPr="00FB02B7" w:rsidRDefault="008F4D0A" w:rsidP="007E6BF5">
            <w:pPr>
              <w:rPr>
                <w:rFonts w:ascii="Cambria" w:hAnsi="Cambria"/>
                <w:sz w:val="22"/>
                <w:szCs w:val="22"/>
              </w:rPr>
            </w:pPr>
          </w:p>
        </w:tc>
      </w:tr>
      <w:tr w:rsidR="008F4D0A" w:rsidRPr="00FB02B7" w:rsidTr="007E6BF5">
        <w:tc>
          <w:tcPr>
            <w:tcW w:w="2226" w:type="dxa"/>
          </w:tcPr>
          <w:p w:rsidR="008F4D0A" w:rsidRPr="00FB02B7" w:rsidRDefault="008F4D0A" w:rsidP="007E6BF5">
            <w:pPr>
              <w:ind w:right="194"/>
              <w:jc w:val="both"/>
              <w:rPr>
                <w:rFonts w:ascii="Cambria" w:hAnsi="Cambria" w:cs="Calibri"/>
                <w:b/>
                <w:sz w:val="20"/>
                <w:szCs w:val="20"/>
              </w:rPr>
            </w:pPr>
            <w:r w:rsidRPr="00FB02B7">
              <w:rPr>
                <w:rFonts w:ascii="Cambria" w:hAnsi="Cambria" w:cs="Calibri"/>
                <w:b/>
                <w:sz w:val="20"/>
                <w:szCs w:val="20"/>
              </w:rPr>
              <w:t>Lecturer</w:t>
            </w:r>
          </w:p>
        </w:tc>
        <w:tc>
          <w:tcPr>
            <w:tcW w:w="7350" w:type="dxa"/>
            <w:gridSpan w:val="2"/>
          </w:tcPr>
          <w:p w:rsidR="008F4D0A" w:rsidRPr="00FB02B7" w:rsidRDefault="008F4D0A" w:rsidP="007E6BF5">
            <w:pPr>
              <w:rPr>
                <w:rFonts w:ascii="Cambria" w:hAnsi="Cambria"/>
                <w:sz w:val="22"/>
                <w:szCs w:val="22"/>
              </w:rPr>
            </w:pPr>
            <w:proofErr w:type="spellStart"/>
            <w:r>
              <w:rPr>
                <w:rFonts w:ascii="Cambria" w:hAnsi="Cambria"/>
                <w:sz w:val="22"/>
                <w:szCs w:val="22"/>
              </w:rPr>
              <w:t>Werkneh</w:t>
            </w:r>
            <w:proofErr w:type="spellEnd"/>
            <w:r>
              <w:rPr>
                <w:rFonts w:ascii="Cambria" w:hAnsi="Cambria"/>
                <w:sz w:val="22"/>
                <w:szCs w:val="22"/>
              </w:rPr>
              <w:t xml:space="preserve"> D.</w:t>
            </w:r>
          </w:p>
        </w:tc>
      </w:tr>
      <w:tr w:rsidR="008F4D0A" w:rsidRPr="00FB02B7" w:rsidTr="007E6BF5">
        <w:tc>
          <w:tcPr>
            <w:tcW w:w="2226" w:type="dxa"/>
          </w:tcPr>
          <w:p w:rsidR="008F4D0A" w:rsidRPr="00FB02B7" w:rsidRDefault="008F4D0A" w:rsidP="007E6BF5">
            <w:pPr>
              <w:ind w:right="194"/>
              <w:jc w:val="both"/>
              <w:rPr>
                <w:rFonts w:ascii="Cambria" w:hAnsi="Cambria" w:cs="Calibri"/>
                <w:b/>
                <w:sz w:val="20"/>
                <w:szCs w:val="20"/>
              </w:rPr>
            </w:pPr>
            <w:r w:rsidRPr="00FB02B7">
              <w:rPr>
                <w:rFonts w:ascii="Cambria" w:hAnsi="Cambria" w:cs="Calibri"/>
                <w:b/>
                <w:sz w:val="20"/>
                <w:szCs w:val="20"/>
              </w:rPr>
              <w:t>ETCTS Credits</w:t>
            </w:r>
          </w:p>
        </w:tc>
        <w:tc>
          <w:tcPr>
            <w:tcW w:w="7350" w:type="dxa"/>
            <w:gridSpan w:val="2"/>
          </w:tcPr>
          <w:p w:rsidR="008F4D0A" w:rsidRPr="00FB02B7" w:rsidRDefault="008F4D0A" w:rsidP="007E6BF5">
            <w:pPr>
              <w:rPr>
                <w:rFonts w:ascii="Cambria" w:hAnsi="Cambria"/>
                <w:sz w:val="22"/>
                <w:szCs w:val="22"/>
              </w:rPr>
            </w:pPr>
            <w:r w:rsidRPr="00FB02B7">
              <w:rPr>
                <w:rFonts w:ascii="Cambria" w:hAnsi="Cambria"/>
                <w:sz w:val="22"/>
                <w:szCs w:val="22"/>
              </w:rPr>
              <w:t>5</w:t>
            </w:r>
          </w:p>
        </w:tc>
      </w:tr>
      <w:tr w:rsidR="008F4D0A" w:rsidRPr="00FB02B7" w:rsidTr="007E6BF5">
        <w:tc>
          <w:tcPr>
            <w:tcW w:w="2226" w:type="dxa"/>
          </w:tcPr>
          <w:p w:rsidR="008F4D0A" w:rsidRPr="00FB02B7" w:rsidRDefault="008F4D0A" w:rsidP="007E6BF5">
            <w:pPr>
              <w:ind w:right="194"/>
              <w:jc w:val="both"/>
              <w:rPr>
                <w:rFonts w:ascii="Cambria" w:hAnsi="Cambria" w:cs="Calibri"/>
                <w:b/>
                <w:sz w:val="20"/>
                <w:szCs w:val="20"/>
              </w:rPr>
            </w:pPr>
            <w:r w:rsidRPr="00FB02B7">
              <w:rPr>
                <w:rFonts w:ascii="Cambria" w:hAnsi="Cambria" w:cs="Calibri"/>
                <w:b/>
                <w:sz w:val="20"/>
                <w:szCs w:val="20"/>
              </w:rPr>
              <w:t>Contact Hours (per week)</w:t>
            </w:r>
          </w:p>
        </w:tc>
        <w:tc>
          <w:tcPr>
            <w:tcW w:w="7350" w:type="dxa"/>
            <w:gridSpan w:val="2"/>
          </w:tcPr>
          <w:p w:rsidR="008F4D0A" w:rsidRPr="00FB02B7" w:rsidRDefault="008F4D0A" w:rsidP="007E6BF5">
            <w:pPr>
              <w:rPr>
                <w:rFonts w:ascii="Cambria" w:hAnsi="Cambria"/>
                <w:sz w:val="22"/>
                <w:szCs w:val="22"/>
              </w:rPr>
            </w:pPr>
            <w:r w:rsidRPr="00FB02B7">
              <w:rPr>
                <w:rFonts w:ascii="Cambria" w:hAnsi="Cambria"/>
                <w:sz w:val="22"/>
                <w:szCs w:val="22"/>
              </w:rPr>
              <w:t>3</w:t>
            </w:r>
          </w:p>
        </w:tc>
      </w:tr>
      <w:tr w:rsidR="008F4D0A" w:rsidRPr="00FB02B7" w:rsidTr="007E6BF5">
        <w:tc>
          <w:tcPr>
            <w:tcW w:w="2226" w:type="dxa"/>
          </w:tcPr>
          <w:p w:rsidR="008F4D0A" w:rsidRPr="00FB02B7" w:rsidRDefault="008F4D0A" w:rsidP="007E6BF5">
            <w:pPr>
              <w:rPr>
                <w:rFonts w:ascii="Cambria" w:hAnsi="Cambria"/>
                <w:sz w:val="22"/>
                <w:szCs w:val="22"/>
              </w:rPr>
            </w:pPr>
            <w:r w:rsidRPr="00FB02B7">
              <w:rPr>
                <w:rFonts w:ascii="Cambria" w:hAnsi="Cambria" w:cs="Calibri"/>
                <w:b/>
                <w:sz w:val="22"/>
                <w:szCs w:val="22"/>
              </w:rPr>
              <w:t>Course Objectives &amp; Competences to be Acquired</w:t>
            </w:r>
          </w:p>
        </w:tc>
        <w:tc>
          <w:tcPr>
            <w:tcW w:w="7350" w:type="dxa"/>
            <w:gridSpan w:val="2"/>
          </w:tcPr>
          <w:p w:rsidR="008F4D0A" w:rsidRPr="00FB02B7" w:rsidRDefault="008F4D0A" w:rsidP="007E6BF5">
            <w:pPr>
              <w:rPr>
                <w:rFonts w:ascii="Cambria" w:hAnsi="Cambria"/>
                <w:sz w:val="22"/>
                <w:szCs w:val="22"/>
              </w:rPr>
            </w:pPr>
            <w:r w:rsidRPr="00FB02B7">
              <w:rPr>
                <w:rFonts w:ascii="Cambria" w:hAnsi="Cambria"/>
                <w:sz w:val="22"/>
                <w:szCs w:val="22"/>
              </w:rPr>
              <w:t>At the end of the course the student is expected to:</w:t>
            </w:r>
          </w:p>
          <w:p w:rsidR="008F4D0A" w:rsidRPr="00FB02B7" w:rsidRDefault="008F4D0A" w:rsidP="008F4D0A">
            <w:pPr>
              <w:pStyle w:val="ListParagraph"/>
              <w:numPr>
                <w:ilvl w:val="0"/>
                <w:numId w:val="1"/>
              </w:numPr>
              <w:rPr>
                <w:rFonts w:ascii="Cambria" w:hAnsi="Cambria"/>
                <w:sz w:val="22"/>
                <w:szCs w:val="22"/>
                <w:lang w:val="en-US" w:eastAsia="en-US"/>
              </w:rPr>
            </w:pPr>
            <w:r w:rsidRPr="00FB02B7">
              <w:rPr>
                <w:rFonts w:ascii="Cambria" w:hAnsi="Cambria"/>
                <w:sz w:val="22"/>
                <w:szCs w:val="22"/>
                <w:lang w:val="en-US" w:eastAsia="en-US"/>
              </w:rPr>
              <w:t>Apply his knowledge of auditing theory, auditing standards, techniques and procedures to practical situations commonly encountered relative to an opinion audit.</w:t>
            </w:r>
          </w:p>
          <w:p w:rsidR="008F4D0A" w:rsidRPr="00FB02B7" w:rsidRDefault="008F4D0A" w:rsidP="008F4D0A">
            <w:pPr>
              <w:pStyle w:val="ListParagraph"/>
              <w:numPr>
                <w:ilvl w:val="0"/>
                <w:numId w:val="1"/>
              </w:numPr>
              <w:rPr>
                <w:rFonts w:ascii="Cambria" w:hAnsi="Cambria"/>
                <w:sz w:val="22"/>
                <w:szCs w:val="22"/>
                <w:lang w:val="en-US" w:eastAsia="en-US"/>
              </w:rPr>
            </w:pPr>
            <w:r w:rsidRPr="00FB02B7">
              <w:rPr>
                <w:rFonts w:ascii="Cambria" w:hAnsi="Cambria"/>
                <w:sz w:val="22"/>
                <w:szCs w:val="22"/>
                <w:lang w:val="en-US" w:eastAsia="en-US"/>
              </w:rPr>
              <w:t xml:space="preserve">Be acquainted the principles that underlie audit of Balance Sheet and Income Statement accounts </w:t>
            </w:r>
          </w:p>
          <w:p w:rsidR="008F4D0A" w:rsidRPr="00FB02B7" w:rsidRDefault="008F4D0A" w:rsidP="008F4D0A">
            <w:pPr>
              <w:pStyle w:val="ListParagraph"/>
              <w:numPr>
                <w:ilvl w:val="0"/>
                <w:numId w:val="1"/>
              </w:numPr>
              <w:rPr>
                <w:rFonts w:ascii="Cambria" w:hAnsi="Cambria"/>
                <w:sz w:val="22"/>
                <w:szCs w:val="22"/>
                <w:lang w:val="en-US" w:eastAsia="en-US"/>
              </w:rPr>
            </w:pPr>
            <w:r w:rsidRPr="00FB02B7">
              <w:rPr>
                <w:rFonts w:ascii="Cambria" w:hAnsi="Cambria"/>
                <w:sz w:val="22"/>
                <w:szCs w:val="22"/>
                <w:lang w:val="en-US" w:eastAsia="en-US"/>
              </w:rPr>
              <w:t>Enumerate and understand the audit objectives for the audit of major accounts;</w:t>
            </w:r>
          </w:p>
          <w:p w:rsidR="008F4D0A" w:rsidRPr="00FB02B7" w:rsidRDefault="008F4D0A" w:rsidP="008F4D0A">
            <w:pPr>
              <w:pStyle w:val="ListParagraph"/>
              <w:numPr>
                <w:ilvl w:val="0"/>
                <w:numId w:val="1"/>
              </w:numPr>
              <w:rPr>
                <w:rFonts w:ascii="Cambria" w:hAnsi="Cambria"/>
                <w:sz w:val="22"/>
                <w:szCs w:val="22"/>
                <w:lang w:val="en-US" w:eastAsia="en-US"/>
              </w:rPr>
            </w:pPr>
            <w:r w:rsidRPr="00FB02B7">
              <w:rPr>
                <w:rFonts w:ascii="Cambria" w:hAnsi="Cambria"/>
                <w:sz w:val="22"/>
                <w:szCs w:val="22"/>
                <w:lang w:val="en-US" w:eastAsia="en-US"/>
              </w:rPr>
              <w:t>Develop audit procures for the audit of major accounts; and</w:t>
            </w:r>
          </w:p>
          <w:p w:rsidR="008F4D0A" w:rsidRPr="00FB02B7" w:rsidRDefault="008F4D0A" w:rsidP="008F4D0A">
            <w:pPr>
              <w:pStyle w:val="ListParagraph"/>
              <w:numPr>
                <w:ilvl w:val="0"/>
                <w:numId w:val="1"/>
              </w:numPr>
              <w:rPr>
                <w:rFonts w:ascii="Cambria" w:hAnsi="Cambria"/>
                <w:sz w:val="22"/>
                <w:szCs w:val="22"/>
                <w:lang w:val="en-US" w:eastAsia="en-US"/>
              </w:rPr>
            </w:pPr>
            <w:r w:rsidRPr="00FB02B7">
              <w:rPr>
                <w:rFonts w:ascii="Cambria" w:hAnsi="Cambria"/>
                <w:sz w:val="22"/>
                <w:szCs w:val="22"/>
                <w:lang w:val="en-US" w:eastAsia="en-US"/>
              </w:rPr>
              <w:t>Comprehend the significance of professional competence, independence, and mental integrity in the practice of accountancy.</w:t>
            </w:r>
          </w:p>
          <w:p w:rsidR="008F4D0A" w:rsidRPr="00FB02B7" w:rsidRDefault="008F4D0A" w:rsidP="008F4D0A">
            <w:pPr>
              <w:pStyle w:val="ListParagraph"/>
              <w:numPr>
                <w:ilvl w:val="0"/>
                <w:numId w:val="1"/>
              </w:numPr>
              <w:rPr>
                <w:rFonts w:ascii="Cambria" w:hAnsi="Cambria"/>
                <w:sz w:val="22"/>
                <w:szCs w:val="22"/>
                <w:lang w:val="en-US" w:eastAsia="en-US"/>
              </w:rPr>
            </w:pPr>
            <w:r w:rsidRPr="00FB02B7">
              <w:rPr>
                <w:rFonts w:ascii="Cambria" w:hAnsi="Cambria"/>
                <w:sz w:val="22"/>
                <w:szCs w:val="22"/>
                <w:lang w:val="en-US" w:eastAsia="en-US"/>
              </w:rPr>
              <w:t>Be committed to bringing about a prevalence of good reporting practice and contribute to the pursuit of social justice and fairness.</w:t>
            </w:r>
          </w:p>
        </w:tc>
      </w:tr>
      <w:tr w:rsidR="008F4D0A" w:rsidRPr="00FB02B7" w:rsidTr="007E6BF5">
        <w:tc>
          <w:tcPr>
            <w:tcW w:w="2226" w:type="dxa"/>
          </w:tcPr>
          <w:p w:rsidR="008F4D0A" w:rsidRPr="00FB02B7" w:rsidRDefault="008F4D0A" w:rsidP="007E6BF5">
            <w:pPr>
              <w:rPr>
                <w:rFonts w:ascii="Cambria" w:hAnsi="Cambria"/>
                <w:sz w:val="22"/>
                <w:szCs w:val="22"/>
              </w:rPr>
            </w:pPr>
            <w:r w:rsidRPr="00FB02B7">
              <w:rPr>
                <w:rFonts w:ascii="Cambria" w:hAnsi="Cambria" w:cs="Calibri"/>
                <w:b/>
                <w:sz w:val="22"/>
                <w:szCs w:val="22"/>
              </w:rPr>
              <w:t>Course Description</w:t>
            </w:r>
          </w:p>
        </w:tc>
        <w:tc>
          <w:tcPr>
            <w:tcW w:w="7350" w:type="dxa"/>
            <w:gridSpan w:val="2"/>
          </w:tcPr>
          <w:p w:rsidR="008F4D0A" w:rsidRPr="00FB02B7" w:rsidRDefault="008F4D0A" w:rsidP="007E6BF5">
            <w:pPr>
              <w:jc w:val="both"/>
              <w:rPr>
                <w:rFonts w:ascii="Cambria" w:hAnsi="Cambria"/>
                <w:sz w:val="22"/>
                <w:szCs w:val="22"/>
              </w:rPr>
            </w:pPr>
            <w:r w:rsidRPr="00FB02B7">
              <w:rPr>
                <w:rFonts w:ascii="Cambria" w:hAnsi="Cambria"/>
                <w:sz w:val="22"/>
                <w:szCs w:val="22"/>
              </w:rPr>
              <w:t>The course builds on the knowledge gained in Auditing I. It covers an in depth practical aspects of topics introduced in Auditing I and brings in new concepts as well. The course introduces audit sampling in general and goes on to application of statistical tools in tests of controls and balances. The technical application of auditing procedures for balance sheet and income statement accounts in an audit undertaking are the foremost subject matters of the course. Audit of systems that include EDP application along with tools and techniques used in evaluation and understanding of internal control in such environments will be introduced.</w:t>
            </w:r>
          </w:p>
        </w:tc>
      </w:tr>
      <w:tr w:rsidR="008F4D0A" w:rsidRPr="00FB02B7" w:rsidTr="007E6BF5">
        <w:tc>
          <w:tcPr>
            <w:tcW w:w="2226" w:type="dxa"/>
          </w:tcPr>
          <w:p w:rsidR="008F4D0A" w:rsidRPr="00FB02B7" w:rsidRDefault="008F4D0A" w:rsidP="007E6BF5">
            <w:pPr>
              <w:ind w:right="194"/>
              <w:jc w:val="both"/>
              <w:rPr>
                <w:rFonts w:ascii="Cambria" w:hAnsi="Cambria"/>
                <w:sz w:val="22"/>
                <w:szCs w:val="22"/>
              </w:rPr>
            </w:pPr>
            <w:r w:rsidRPr="00FB02B7">
              <w:rPr>
                <w:rFonts w:ascii="Cambria" w:hAnsi="Cambria" w:cs="Calibri"/>
                <w:b/>
                <w:sz w:val="22"/>
                <w:szCs w:val="22"/>
              </w:rPr>
              <w:t>WEEKS</w:t>
            </w:r>
          </w:p>
        </w:tc>
        <w:tc>
          <w:tcPr>
            <w:tcW w:w="5613" w:type="dxa"/>
          </w:tcPr>
          <w:p w:rsidR="008F4D0A" w:rsidRPr="00FB02B7" w:rsidRDefault="008F4D0A" w:rsidP="007E6BF5">
            <w:pPr>
              <w:rPr>
                <w:rFonts w:ascii="Cambria" w:hAnsi="Cambria"/>
                <w:sz w:val="22"/>
                <w:szCs w:val="22"/>
              </w:rPr>
            </w:pPr>
            <w:r w:rsidRPr="00FB02B7">
              <w:rPr>
                <w:rFonts w:ascii="Cambria" w:hAnsi="Cambria" w:cs="Calibri"/>
                <w:b/>
                <w:sz w:val="22"/>
                <w:szCs w:val="22"/>
              </w:rPr>
              <w:t>Course Contents</w:t>
            </w:r>
          </w:p>
        </w:tc>
        <w:tc>
          <w:tcPr>
            <w:tcW w:w="1737" w:type="dxa"/>
          </w:tcPr>
          <w:p w:rsidR="008F4D0A" w:rsidRPr="00FB02B7" w:rsidRDefault="008F4D0A" w:rsidP="007E6BF5">
            <w:pPr>
              <w:rPr>
                <w:rFonts w:ascii="Cambria" w:hAnsi="Cambria"/>
                <w:sz w:val="22"/>
                <w:szCs w:val="22"/>
              </w:rPr>
            </w:pPr>
            <w:r w:rsidRPr="00FB02B7">
              <w:rPr>
                <w:rFonts w:ascii="Cambria" w:hAnsi="Cambria" w:cs="Calibri"/>
                <w:b/>
                <w:sz w:val="20"/>
                <w:szCs w:val="20"/>
              </w:rPr>
              <w:t>Reading</w:t>
            </w:r>
          </w:p>
        </w:tc>
      </w:tr>
      <w:tr w:rsidR="008F4D0A" w:rsidRPr="00FB02B7" w:rsidTr="007E6BF5">
        <w:tc>
          <w:tcPr>
            <w:tcW w:w="2226" w:type="dxa"/>
          </w:tcPr>
          <w:p w:rsidR="008F4D0A" w:rsidRPr="00FB02B7" w:rsidRDefault="008F4D0A" w:rsidP="007E6BF5">
            <w:pPr>
              <w:rPr>
                <w:rFonts w:ascii="Cambria" w:hAnsi="Cambria"/>
                <w:sz w:val="22"/>
                <w:szCs w:val="22"/>
              </w:rPr>
            </w:pPr>
          </w:p>
        </w:tc>
        <w:tc>
          <w:tcPr>
            <w:tcW w:w="5613" w:type="dxa"/>
          </w:tcPr>
          <w:p w:rsidR="008F4D0A" w:rsidRPr="00FB02B7" w:rsidRDefault="008F4D0A" w:rsidP="008F4D0A">
            <w:pPr>
              <w:pStyle w:val="ListParagraph"/>
              <w:numPr>
                <w:ilvl w:val="0"/>
                <w:numId w:val="2"/>
              </w:numPr>
              <w:rPr>
                <w:rFonts w:ascii="Cambria" w:hAnsi="Cambria"/>
                <w:b/>
                <w:sz w:val="22"/>
                <w:szCs w:val="22"/>
                <w:lang w:val="en-US" w:eastAsia="en-US"/>
              </w:rPr>
            </w:pPr>
            <w:r w:rsidRPr="00FB02B7">
              <w:rPr>
                <w:rFonts w:ascii="Cambria" w:hAnsi="Cambria"/>
                <w:b/>
                <w:sz w:val="22"/>
                <w:szCs w:val="22"/>
                <w:lang w:val="en-US" w:eastAsia="en-US"/>
              </w:rPr>
              <w:t>Sampling in Auditing</w:t>
            </w:r>
          </w:p>
          <w:p w:rsidR="008F4D0A" w:rsidRPr="00FB02B7" w:rsidRDefault="008F4D0A" w:rsidP="008F4D0A">
            <w:pPr>
              <w:pStyle w:val="ListParagraph"/>
              <w:numPr>
                <w:ilvl w:val="1"/>
                <w:numId w:val="3"/>
              </w:numPr>
              <w:tabs>
                <w:tab w:val="left" w:pos="1054"/>
              </w:tabs>
              <w:ind w:left="1054" w:hanging="450"/>
              <w:rPr>
                <w:rFonts w:ascii="Cambria" w:hAnsi="Cambria"/>
                <w:sz w:val="22"/>
                <w:szCs w:val="22"/>
                <w:lang w:val="en-US" w:eastAsia="en-US"/>
              </w:rPr>
            </w:pPr>
            <w:r w:rsidRPr="00FB02B7">
              <w:rPr>
                <w:rFonts w:ascii="Cambria" w:hAnsi="Cambria"/>
                <w:sz w:val="22"/>
                <w:szCs w:val="22"/>
                <w:lang w:val="en-US" w:eastAsia="en-US"/>
              </w:rPr>
              <w:t xml:space="preserve">Rationale for and methods of Audit Sampling </w:t>
            </w:r>
          </w:p>
          <w:p w:rsidR="008F4D0A" w:rsidRPr="00FB02B7" w:rsidRDefault="008F4D0A" w:rsidP="008F4D0A">
            <w:pPr>
              <w:pStyle w:val="ListParagraph"/>
              <w:numPr>
                <w:ilvl w:val="1"/>
                <w:numId w:val="3"/>
              </w:numPr>
              <w:tabs>
                <w:tab w:val="left" w:pos="1054"/>
              </w:tabs>
              <w:ind w:firstLine="229"/>
              <w:rPr>
                <w:rFonts w:ascii="Cambria" w:hAnsi="Cambria"/>
                <w:sz w:val="22"/>
                <w:szCs w:val="22"/>
                <w:lang w:val="en-US" w:eastAsia="en-US"/>
              </w:rPr>
            </w:pPr>
            <w:r w:rsidRPr="00FB02B7">
              <w:rPr>
                <w:rFonts w:ascii="Cambria" w:hAnsi="Cambria"/>
                <w:sz w:val="22"/>
                <w:szCs w:val="22"/>
                <w:lang w:val="en-US" w:eastAsia="en-US"/>
              </w:rPr>
              <w:t>Audit sampling for tests of controls</w:t>
            </w:r>
          </w:p>
          <w:p w:rsidR="008F4D0A" w:rsidRPr="00FB02B7" w:rsidRDefault="008F4D0A" w:rsidP="008F4D0A">
            <w:pPr>
              <w:pStyle w:val="ListParagraph"/>
              <w:numPr>
                <w:ilvl w:val="1"/>
                <w:numId w:val="3"/>
              </w:numPr>
              <w:tabs>
                <w:tab w:val="left" w:pos="1054"/>
              </w:tabs>
              <w:ind w:firstLine="229"/>
              <w:rPr>
                <w:rFonts w:ascii="Cambria" w:hAnsi="Cambria"/>
                <w:sz w:val="22"/>
                <w:szCs w:val="22"/>
                <w:lang w:val="en-US" w:eastAsia="en-US"/>
              </w:rPr>
            </w:pPr>
            <w:r w:rsidRPr="00FB02B7">
              <w:rPr>
                <w:rFonts w:ascii="Cambria" w:hAnsi="Cambria"/>
                <w:sz w:val="22"/>
                <w:szCs w:val="22"/>
                <w:lang w:val="en-US" w:eastAsia="en-US"/>
              </w:rPr>
              <w:t>Audit sampling for substantive tests</w:t>
            </w:r>
          </w:p>
        </w:tc>
        <w:tc>
          <w:tcPr>
            <w:tcW w:w="1737" w:type="dxa"/>
          </w:tcPr>
          <w:p w:rsidR="008F4D0A" w:rsidRPr="00FB02B7" w:rsidRDefault="008F4D0A" w:rsidP="007E6BF5">
            <w:pPr>
              <w:rPr>
                <w:rFonts w:ascii="Cambria" w:hAnsi="Cambria"/>
                <w:sz w:val="22"/>
                <w:szCs w:val="22"/>
              </w:rPr>
            </w:pPr>
          </w:p>
        </w:tc>
      </w:tr>
      <w:tr w:rsidR="008F4D0A" w:rsidRPr="00FB02B7" w:rsidTr="007E6BF5">
        <w:tc>
          <w:tcPr>
            <w:tcW w:w="2226" w:type="dxa"/>
          </w:tcPr>
          <w:p w:rsidR="008F4D0A" w:rsidRPr="00FB02B7" w:rsidRDefault="008F4D0A" w:rsidP="007E6BF5">
            <w:pPr>
              <w:rPr>
                <w:rFonts w:ascii="Cambria" w:hAnsi="Cambria"/>
                <w:sz w:val="22"/>
                <w:szCs w:val="22"/>
              </w:rPr>
            </w:pPr>
          </w:p>
        </w:tc>
        <w:tc>
          <w:tcPr>
            <w:tcW w:w="5613" w:type="dxa"/>
          </w:tcPr>
          <w:p w:rsidR="008F4D0A" w:rsidRPr="00FB02B7" w:rsidRDefault="008F4D0A" w:rsidP="008F4D0A">
            <w:pPr>
              <w:pStyle w:val="ListParagraph"/>
              <w:numPr>
                <w:ilvl w:val="0"/>
                <w:numId w:val="2"/>
              </w:numPr>
              <w:rPr>
                <w:rFonts w:ascii="Cambria" w:hAnsi="Cambria"/>
                <w:b/>
                <w:sz w:val="22"/>
                <w:szCs w:val="22"/>
                <w:lang w:val="en-US" w:eastAsia="en-US"/>
              </w:rPr>
            </w:pPr>
            <w:r w:rsidRPr="00FB02B7">
              <w:rPr>
                <w:rFonts w:ascii="Cambria" w:hAnsi="Cambria"/>
                <w:b/>
                <w:sz w:val="22"/>
                <w:szCs w:val="22"/>
                <w:lang w:val="en-US" w:eastAsia="en-US"/>
              </w:rPr>
              <w:t>Audit of Cash and Marketable Securities</w:t>
            </w:r>
          </w:p>
          <w:p w:rsidR="008F4D0A" w:rsidRPr="00FB02B7" w:rsidRDefault="008F4D0A" w:rsidP="008F4D0A">
            <w:pPr>
              <w:pStyle w:val="ListParagraph"/>
              <w:numPr>
                <w:ilvl w:val="1"/>
                <w:numId w:val="2"/>
              </w:numPr>
              <w:ind w:left="1144" w:hanging="630"/>
              <w:rPr>
                <w:rFonts w:ascii="Cambria" w:hAnsi="Cambria"/>
                <w:sz w:val="22"/>
                <w:szCs w:val="22"/>
                <w:lang w:val="en-US" w:eastAsia="en-US"/>
              </w:rPr>
            </w:pPr>
            <w:r w:rsidRPr="00FB02B7">
              <w:rPr>
                <w:rFonts w:ascii="Cambria" w:hAnsi="Cambria"/>
                <w:sz w:val="22"/>
                <w:szCs w:val="22"/>
                <w:lang w:val="en-US" w:eastAsia="en-US"/>
              </w:rPr>
              <w:t>Internal control over cash transactions, receipts and       disbursements</w:t>
            </w:r>
          </w:p>
          <w:p w:rsidR="008F4D0A" w:rsidRPr="00FB02B7" w:rsidRDefault="008F4D0A" w:rsidP="008F4D0A">
            <w:pPr>
              <w:pStyle w:val="ListParagraph"/>
              <w:numPr>
                <w:ilvl w:val="1"/>
                <w:numId w:val="2"/>
              </w:numPr>
              <w:ind w:left="1144" w:hanging="630"/>
              <w:rPr>
                <w:rFonts w:ascii="Cambria" w:hAnsi="Cambria"/>
                <w:sz w:val="22"/>
                <w:szCs w:val="22"/>
                <w:lang w:val="en-US" w:eastAsia="en-US"/>
              </w:rPr>
            </w:pPr>
            <w:r w:rsidRPr="00FB02B7">
              <w:rPr>
                <w:rFonts w:ascii="Cambria" w:hAnsi="Cambria"/>
                <w:sz w:val="22"/>
                <w:szCs w:val="22"/>
                <w:lang w:val="en-US" w:eastAsia="en-US"/>
              </w:rPr>
              <w:t>Audit program for cash</w:t>
            </w:r>
          </w:p>
          <w:p w:rsidR="008F4D0A" w:rsidRPr="00FB02B7" w:rsidRDefault="008F4D0A" w:rsidP="008F4D0A">
            <w:pPr>
              <w:pStyle w:val="ListParagraph"/>
              <w:numPr>
                <w:ilvl w:val="1"/>
                <w:numId w:val="2"/>
              </w:numPr>
              <w:ind w:left="1144" w:hanging="630"/>
              <w:rPr>
                <w:rFonts w:ascii="Cambria" w:hAnsi="Cambria"/>
                <w:sz w:val="22"/>
                <w:szCs w:val="22"/>
                <w:lang w:val="en-US" w:eastAsia="en-US"/>
              </w:rPr>
            </w:pPr>
            <w:r w:rsidRPr="00FB02B7">
              <w:rPr>
                <w:rFonts w:ascii="Cambria" w:hAnsi="Cambria"/>
                <w:sz w:val="22"/>
                <w:szCs w:val="22"/>
                <w:lang w:val="en-US" w:eastAsia="en-US"/>
              </w:rPr>
              <w:t>Internal control over Marketable securities</w:t>
            </w:r>
          </w:p>
          <w:p w:rsidR="008F4D0A" w:rsidRPr="00FB02B7" w:rsidRDefault="008F4D0A" w:rsidP="008F4D0A">
            <w:pPr>
              <w:pStyle w:val="ListParagraph"/>
              <w:numPr>
                <w:ilvl w:val="1"/>
                <w:numId w:val="2"/>
              </w:numPr>
              <w:ind w:left="1144" w:hanging="630"/>
              <w:rPr>
                <w:rFonts w:ascii="Cambria" w:hAnsi="Cambria"/>
                <w:sz w:val="22"/>
                <w:szCs w:val="22"/>
                <w:lang w:val="en-US" w:eastAsia="en-US"/>
              </w:rPr>
            </w:pPr>
            <w:r w:rsidRPr="00FB02B7">
              <w:rPr>
                <w:rFonts w:ascii="Cambria" w:hAnsi="Cambria"/>
                <w:sz w:val="22"/>
                <w:szCs w:val="22"/>
                <w:lang w:val="en-US" w:eastAsia="en-US"/>
              </w:rPr>
              <w:t>Audit program for marketable securities</w:t>
            </w:r>
          </w:p>
        </w:tc>
        <w:tc>
          <w:tcPr>
            <w:tcW w:w="1737" w:type="dxa"/>
          </w:tcPr>
          <w:p w:rsidR="008F4D0A" w:rsidRPr="00FB02B7" w:rsidRDefault="008F4D0A" w:rsidP="007E6BF5">
            <w:pPr>
              <w:rPr>
                <w:rFonts w:ascii="Cambria" w:hAnsi="Cambria"/>
                <w:sz w:val="22"/>
                <w:szCs w:val="22"/>
              </w:rPr>
            </w:pPr>
          </w:p>
        </w:tc>
      </w:tr>
      <w:tr w:rsidR="008F4D0A" w:rsidRPr="00FB02B7" w:rsidTr="007E6BF5">
        <w:tc>
          <w:tcPr>
            <w:tcW w:w="2226" w:type="dxa"/>
          </w:tcPr>
          <w:p w:rsidR="008F4D0A" w:rsidRPr="00FB02B7" w:rsidRDefault="008F4D0A" w:rsidP="007E6BF5">
            <w:pPr>
              <w:rPr>
                <w:rFonts w:ascii="Cambria" w:hAnsi="Cambria"/>
                <w:sz w:val="22"/>
                <w:szCs w:val="22"/>
              </w:rPr>
            </w:pPr>
          </w:p>
        </w:tc>
        <w:tc>
          <w:tcPr>
            <w:tcW w:w="5613" w:type="dxa"/>
          </w:tcPr>
          <w:p w:rsidR="008F4D0A" w:rsidRPr="00FB02B7" w:rsidRDefault="008F4D0A" w:rsidP="008F4D0A">
            <w:pPr>
              <w:pStyle w:val="ListParagraph"/>
              <w:numPr>
                <w:ilvl w:val="0"/>
                <w:numId w:val="2"/>
              </w:numPr>
              <w:rPr>
                <w:rFonts w:ascii="Cambria" w:hAnsi="Cambria"/>
                <w:sz w:val="22"/>
                <w:szCs w:val="22"/>
                <w:lang w:val="en-US" w:eastAsia="en-US"/>
              </w:rPr>
            </w:pPr>
            <w:r w:rsidRPr="00FB02B7">
              <w:rPr>
                <w:rFonts w:ascii="Cambria" w:hAnsi="Cambria"/>
                <w:b/>
                <w:sz w:val="22"/>
                <w:szCs w:val="22"/>
                <w:lang w:val="en-US" w:eastAsia="en-US"/>
              </w:rPr>
              <w:t>Audit of Receivables and Sales</w:t>
            </w:r>
          </w:p>
          <w:p w:rsidR="008F4D0A" w:rsidRPr="00FB02B7" w:rsidRDefault="008F4D0A" w:rsidP="008F4D0A">
            <w:pPr>
              <w:pStyle w:val="ListParagraph"/>
              <w:numPr>
                <w:ilvl w:val="1"/>
                <w:numId w:val="2"/>
              </w:numPr>
              <w:ind w:left="784" w:hanging="450"/>
              <w:rPr>
                <w:rFonts w:ascii="Cambria" w:hAnsi="Cambria"/>
                <w:sz w:val="22"/>
                <w:szCs w:val="22"/>
                <w:lang w:val="en-US" w:eastAsia="en-US"/>
              </w:rPr>
            </w:pPr>
            <w:r w:rsidRPr="00FB02B7">
              <w:rPr>
                <w:rFonts w:ascii="Cambria" w:hAnsi="Cambria"/>
                <w:sz w:val="22"/>
                <w:szCs w:val="22"/>
                <w:lang w:val="en-US" w:eastAsia="en-US"/>
              </w:rPr>
              <w:lastRenderedPageBreak/>
              <w:t>Internal control over Sales transactions, and Accounts   Receivable</w:t>
            </w:r>
          </w:p>
          <w:p w:rsidR="008F4D0A" w:rsidRPr="00FB02B7" w:rsidRDefault="008F4D0A" w:rsidP="008F4D0A">
            <w:pPr>
              <w:pStyle w:val="ListParagraph"/>
              <w:numPr>
                <w:ilvl w:val="1"/>
                <w:numId w:val="2"/>
              </w:numPr>
              <w:ind w:left="784" w:hanging="450"/>
              <w:rPr>
                <w:rFonts w:ascii="Cambria" w:hAnsi="Cambria"/>
                <w:sz w:val="22"/>
                <w:szCs w:val="22"/>
                <w:lang w:val="en-US" w:eastAsia="en-US"/>
              </w:rPr>
            </w:pPr>
            <w:r w:rsidRPr="00FB02B7">
              <w:rPr>
                <w:rFonts w:ascii="Cambria" w:hAnsi="Cambria"/>
                <w:sz w:val="22"/>
                <w:szCs w:val="22"/>
                <w:lang w:val="en-US" w:eastAsia="en-US"/>
              </w:rPr>
              <w:t>Internal control over Notes Receivable</w:t>
            </w:r>
          </w:p>
          <w:p w:rsidR="008F4D0A" w:rsidRPr="00FB02B7" w:rsidRDefault="008F4D0A" w:rsidP="008F4D0A">
            <w:pPr>
              <w:pStyle w:val="ListParagraph"/>
              <w:numPr>
                <w:ilvl w:val="1"/>
                <w:numId w:val="2"/>
              </w:numPr>
              <w:ind w:left="784" w:hanging="450"/>
              <w:rPr>
                <w:rFonts w:ascii="Cambria" w:hAnsi="Cambria"/>
                <w:sz w:val="22"/>
                <w:szCs w:val="22"/>
                <w:lang w:val="en-US" w:eastAsia="en-US"/>
              </w:rPr>
            </w:pPr>
            <w:r w:rsidRPr="00FB02B7">
              <w:rPr>
                <w:rFonts w:ascii="Cambria" w:hAnsi="Cambria"/>
                <w:sz w:val="22"/>
                <w:szCs w:val="22"/>
                <w:lang w:val="en-US" w:eastAsia="en-US"/>
              </w:rPr>
              <w:t xml:space="preserve">Audit program for Receivables and Sales  </w:t>
            </w:r>
          </w:p>
        </w:tc>
        <w:tc>
          <w:tcPr>
            <w:tcW w:w="1737" w:type="dxa"/>
          </w:tcPr>
          <w:p w:rsidR="008F4D0A" w:rsidRPr="00FB02B7" w:rsidRDefault="008F4D0A" w:rsidP="007E6BF5">
            <w:pPr>
              <w:rPr>
                <w:rFonts w:ascii="Cambria" w:hAnsi="Cambria"/>
                <w:sz w:val="22"/>
                <w:szCs w:val="22"/>
              </w:rPr>
            </w:pPr>
          </w:p>
        </w:tc>
      </w:tr>
      <w:tr w:rsidR="008F4D0A" w:rsidRPr="00FB02B7" w:rsidTr="007E6BF5">
        <w:tc>
          <w:tcPr>
            <w:tcW w:w="2226" w:type="dxa"/>
          </w:tcPr>
          <w:p w:rsidR="008F4D0A" w:rsidRPr="00FB02B7" w:rsidRDefault="008F4D0A" w:rsidP="007E6BF5">
            <w:pPr>
              <w:rPr>
                <w:rFonts w:ascii="Cambria" w:hAnsi="Cambria"/>
                <w:sz w:val="22"/>
                <w:szCs w:val="22"/>
              </w:rPr>
            </w:pPr>
          </w:p>
        </w:tc>
        <w:tc>
          <w:tcPr>
            <w:tcW w:w="5613" w:type="dxa"/>
          </w:tcPr>
          <w:p w:rsidR="008F4D0A" w:rsidRPr="00FB02B7" w:rsidRDefault="008F4D0A" w:rsidP="008F4D0A">
            <w:pPr>
              <w:pStyle w:val="ListParagraph"/>
              <w:numPr>
                <w:ilvl w:val="0"/>
                <w:numId w:val="2"/>
              </w:numPr>
              <w:rPr>
                <w:rFonts w:ascii="Cambria" w:hAnsi="Cambria"/>
                <w:b/>
                <w:sz w:val="22"/>
                <w:szCs w:val="22"/>
                <w:lang w:val="en-US" w:eastAsia="en-US"/>
              </w:rPr>
            </w:pPr>
            <w:r w:rsidRPr="00FB02B7">
              <w:rPr>
                <w:rFonts w:ascii="Cambria" w:hAnsi="Cambria"/>
                <w:b/>
                <w:sz w:val="22"/>
                <w:szCs w:val="22"/>
                <w:lang w:val="en-US" w:eastAsia="en-US"/>
              </w:rPr>
              <w:t>Inventories and Cost of goods sold</w:t>
            </w:r>
          </w:p>
          <w:p w:rsidR="008F4D0A" w:rsidRPr="00FB02B7" w:rsidRDefault="008F4D0A" w:rsidP="008F4D0A">
            <w:pPr>
              <w:pStyle w:val="ListParagraph"/>
              <w:numPr>
                <w:ilvl w:val="1"/>
                <w:numId w:val="2"/>
              </w:numPr>
              <w:ind w:left="784" w:hanging="450"/>
              <w:rPr>
                <w:rFonts w:ascii="Cambria" w:hAnsi="Cambria"/>
                <w:sz w:val="22"/>
                <w:szCs w:val="22"/>
                <w:lang w:val="en-US" w:eastAsia="en-US"/>
              </w:rPr>
            </w:pPr>
            <w:r w:rsidRPr="00FB02B7">
              <w:rPr>
                <w:rFonts w:ascii="Cambria" w:hAnsi="Cambria"/>
                <w:sz w:val="22"/>
                <w:szCs w:val="22"/>
                <w:lang w:val="en-US" w:eastAsia="en-US"/>
              </w:rPr>
              <w:t>Internal control over Inventories and Cost of goods sold</w:t>
            </w:r>
          </w:p>
          <w:p w:rsidR="008F4D0A" w:rsidRPr="00FB02B7" w:rsidRDefault="008F4D0A" w:rsidP="008F4D0A">
            <w:pPr>
              <w:pStyle w:val="ListParagraph"/>
              <w:numPr>
                <w:ilvl w:val="1"/>
                <w:numId w:val="2"/>
              </w:numPr>
              <w:ind w:left="784" w:hanging="450"/>
              <w:rPr>
                <w:rFonts w:ascii="Cambria" w:hAnsi="Cambria"/>
                <w:sz w:val="22"/>
                <w:szCs w:val="22"/>
                <w:lang w:val="en-US" w:eastAsia="en-US"/>
              </w:rPr>
            </w:pPr>
            <w:r w:rsidRPr="00FB02B7">
              <w:rPr>
                <w:rFonts w:ascii="Cambria" w:hAnsi="Cambria"/>
                <w:sz w:val="22"/>
                <w:szCs w:val="22"/>
                <w:lang w:val="en-US" w:eastAsia="en-US"/>
              </w:rPr>
              <w:t>Audit program for Inventories and Cost of goods sold</w:t>
            </w:r>
          </w:p>
        </w:tc>
        <w:tc>
          <w:tcPr>
            <w:tcW w:w="1737" w:type="dxa"/>
          </w:tcPr>
          <w:p w:rsidR="008F4D0A" w:rsidRPr="00FB02B7" w:rsidRDefault="008F4D0A" w:rsidP="007E6BF5">
            <w:pPr>
              <w:rPr>
                <w:rFonts w:ascii="Cambria" w:hAnsi="Cambria"/>
                <w:sz w:val="22"/>
                <w:szCs w:val="22"/>
              </w:rPr>
            </w:pPr>
          </w:p>
        </w:tc>
      </w:tr>
      <w:tr w:rsidR="008F4D0A" w:rsidRPr="00FB02B7" w:rsidTr="007E6BF5">
        <w:tc>
          <w:tcPr>
            <w:tcW w:w="2226" w:type="dxa"/>
          </w:tcPr>
          <w:p w:rsidR="008F4D0A" w:rsidRPr="00FB02B7" w:rsidRDefault="008F4D0A" w:rsidP="007E6BF5">
            <w:pPr>
              <w:rPr>
                <w:rFonts w:ascii="Cambria" w:hAnsi="Cambria"/>
                <w:sz w:val="22"/>
                <w:szCs w:val="22"/>
              </w:rPr>
            </w:pPr>
          </w:p>
        </w:tc>
        <w:tc>
          <w:tcPr>
            <w:tcW w:w="5613" w:type="dxa"/>
          </w:tcPr>
          <w:p w:rsidR="008F4D0A" w:rsidRPr="00FB02B7" w:rsidRDefault="008F4D0A" w:rsidP="008F4D0A">
            <w:pPr>
              <w:pStyle w:val="ListParagraph"/>
              <w:numPr>
                <w:ilvl w:val="0"/>
                <w:numId w:val="2"/>
              </w:numPr>
              <w:rPr>
                <w:rFonts w:ascii="Cambria" w:hAnsi="Cambria"/>
                <w:b/>
                <w:sz w:val="22"/>
                <w:szCs w:val="22"/>
                <w:lang w:val="en-US" w:eastAsia="en-US"/>
              </w:rPr>
            </w:pPr>
            <w:r w:rsidRPr="00FB02B7">
              <w:rPr>
                <w:rFonts w:ascii="Cambria" w:hAnsi="Cambria"/>
                <w:b/>
                <w:sz w:val="22"/>
                <w:szCs w:val="22"/>
                <w:lang w:val="en-US" w:eastAsia="en-US"/>
              </w:rPr>
              <w:t>Audit of Fixed Assets</w:t>
            </w:r>
          </w:p>
          <w:p w:rsidR="008F4D0A" w:rsidRPr="00FB02B7" w:rsidRDefault="008F4D0A" w:rsidP="008F4D0A">
            <w:pPr>
              <w:pStyle w:val="ListParagraph"/>
              <w:numPr>
                <w:ilvl w:val="1"/>
                <w:numId w:val="2"/>
              </w:numPr>
              <w:ind w:left="784" w:hanging="450"/>
              <w:rPr>
                <w:rFonts w:ascii="Cambria" w:hAnsi="Cambria"/>
                <w:sz w:val="22"/>
                <w:szCs w:val="22"/>
                <w:lang w:val="en-US" w:eastAsia="en-US"/>
              </w:rPr>
            </w:pPr>
            <w:r w:rsidRPr="00FB02B7">
              <w:rPr>
                <w:rFonts w:ascii="Cambria" w:hAnsi="Cambria"/>
                <w:sz w:val="22"/>
                <w:szCs w:val="22"/>
                <w:lang w:val="en-US" w:eastAsia="en-US"/>
              </w:rPr>
              <w:t xml:space="preserve">Internal control over plant and equipment </w:t>
            </w:r>
          </w:p>
          <w:p w:rsidR="008F4D0A" w:rsidRPr="00FB02B7" w:rsidRDefault="008F4D0A" w:rsidP="008F4D0A">
            <w:pPr>
              <w:pStyle w:val="ListParagraph"/>
              <w:numPr>
                <w:ilvl w:val="1"/>
                <w:numId w:val="2"/>
              </w:numPr>
              <w:ind w:left="784" w:hanging="450"/>
              <w:rPr>
                <w:rFonts w:ascii="Cambria" w:hAnsi="Cambria"/>
                <w:sz w:val="22"/>
                <w:szCs w:val="22"/>
                <w:lang w:val="en-US" w:eastAsia="en-US"/>
              </w:rPr>
            </w:pPr>
            <w:r w:rsidRPr="00FB02B7">
              <w:rPr>
                <w:rFonts w:ascii="Cambria" w:hAnsi="Cambria"/>
                <w:sz w:val="22"/>
                <w:szCs w:val="22"/>
                <w:lang w:val="en-US" w:eastAsia="en-US"/>
              </w:rPr>
              <w:t>The plant and equipment budget</w:t>
            </w:r>
          </w:p>
          <w:p w:rsidR="008F4D0A" w:rsidRPr="00FB02B7" w:rsidRDefault="008F4D0A" w:rsidP="008F4D0A">
            <w:pPr>
              <w:pStyle w:val="ListParagraph"/>
              <w:numPr>
                <w:ilvl w:val="1"/>
                <w:numId w:val="2"/>
              </w:numPr>
              <w:ind w:left="784" w:hanging="450"/>
              <w:rPr>
                <w:rFonts w:ascii="Cambria" w:hAnsi="Cambria"/>
                <w:sz w:val="22"/>
                <w:szCs w:val="22"/>
                <w:lang w:val="en-US" w:eastAsia="en-US"/>
              </w:rPr>
            </w:pPr>
            <w:r w:rsidRPr="00FB02B7">
              <w:rPr>
                <w:rFonts w:ascii="Cambria" w:hAnsi="Cambria"/>
                <w:sz w:val="22"/>
                <w:szCs w:val="22"/>
                <w:lang w:val="en-US" w:eastAsia="en-US"/>
              </w:rPr>
              <w:t>Audit program for property plant and equipment</w:t>
            </w:r>
          </w:p>
        </w:tc>
        <w:tc>
          <w:tcPr>
            <w:tcW w:w="1737" w:type="dxa"/>
          </w:tcPr>
          <w:p w:rsidR="008F4D0A" w:rsidRPr="00FB02B7" w:rsidRDefault="008F4D0A" w:rsidP="007E6BF5">
            <w:pPr>
              <w:rPr>
                <w:rFonts w:ascii="Cambria" w:hAnsi="Cambria"/>
                <w:sz w:val="22"/>
                <w:szCs w:val="22"/>
              </w:rPr>
            </w:pPr>
          </w:p>
        </w:tc>
      </w:tr>
      <w:tr w:rsidR="008F4D0A" w:rsidRPr="00FB02B7" w:rsidTr="007E6BF5">
        <w:tc>
          <w:tcPr>
            <w:tcW w:w="2226" w:type="dxa"/>
          </w:tcPr>
          <w:p w:rsidR="008F4D0A" w:rsidRPr="00FB02B7" w:rsidRDefault="008F4D0A" w:rsidP="007E6BF5">
            <w:pPr>
              <w:rPr>
                <w:rFonts w:ascii="Cambria" w:hAnsi="Cambria"/>
                <w:sz w:val="22"/>
                <w:szCs w:val="22"/>
              </w:rPr>
            </w:pPr>
          </w:p>
        </w:tc>
        <w:tc>
          <w:tcPr>
            <w:tcW w:w="5613" w:type="dxa"/>
          </w:tcPr>
          <w:p w:rsidR="008F4D0A" w:rsidRPr="00FB02B7" w:rsidRDefault="008F4D0A" w:rsidP="008F4D0A">
            <w:pPr>
              <w:pStyle w:val="ListParagraph"/>
              <w:numPr>
                <w:ilvl w:val="0"/>
                <w:numId w:val="2"/>
              </w:numPr>
              <w:rPr>
                <w:rFonts w:ascii="Cambria" w:hAnsi="Cambria"/>
                <w:b/>
                <w:sz w:val="22"/>
                <w:szCs w:val="22"/>
                <w:lang w:val="en-US" w:eastAsia="en-US"/>
              </w:rPr>
            </w:pPr>
            <w:r w:rsidRPr="00FB02B7">
              <w:rPr>
                <w:rFonts w:ascii="Cambria" w:hAnsi="Cambria"/>
                <w:b/>
                <w:sz w:val="22"/>
                <w:szCs w:val="22"/>
                <w:lang w:val="en-US" w:eastAsia="en-US"/>
              </w:rPr>
              <w:t>Audit of current liabilities</w:t>
            </w:r>
          </w:p>
          <w:p w:rsidR="008F4D0A" w:rsidRPr="00FB02B7" w:rsidRDefault="008F4D0A" w:rsidP="008F4D0A">
            <w:pPr>
              <w:pStyle w:val="ListParagraph"/>
              <w:numPr>
                <w:ilvl w:val="1"/>
                <w:numId w:val="2"/>
              </w:numPr>
              <w:ind w:left="874" w:hanging="450"/>
              <w:rPr>
                <w:rFonts w:ascii="Cambria" w:hAnsi="Cambria"/>
                <w:b/>
                <w:sz w:val="22"/>
                <w:szCs w:val="22"/>
                <w:lang w:val="en-US" w:eastAsia="en-US"/>
              </w:rPr>
            </w:pPr>
            <w:r w:rsidRPr="00FB02B7">
              <w:rPr>
                <w:rFonts w:ascii="Cambria" w:hAnsi="Cambria"/>
                <w:sz w:val="22"/>
                <w:szCs w:val="22"/>
                <w:lang w:val="en-US" w:eastAsia="en-US"/>
              </w:rPr>
              <w:t xml:space="preserve">Internal control over Accounts payable </w:t>
            </w:r>
          </w:p>
          <w:p w:rsidR="008F4D0A" w:rsidRPr="00FB02B7" w:rsidRDefault="008F4D0A" w:rsidP="008F4D0A">
            <w:pPr>
              <w:pStyle w:val="ListParagraph"/>
              <w:numPr>
                <w:ilvl w:val="1"/>
                <w:numId w:val="2"/>
              </w:numPr>
              <w:ind w:left="874" w:hanging="450"/>
              <w:rPr>
                <w:rFonts w:ascii="Cambria" w:hAnsi="Cambria"/>
                <w:sz w:val="22"/>
                <w:szCs w:val="22"/>
                <w:lang w:val="en-US" w:eastAsia="en-US"/>
              </w:rPr>
            </w:pPr>
            <w:r w:rsidRPr="00FB02B7">
              <w:rPr>
                <w:rFonts w:ascii="Cambria" w:hAnsi="Cambria"/>
                <w:sz w:val="22"/>
                <w:szCs w:val="22"/>
                <w:lang w:val="en-US" w:eastAsia="en-US"/>
              </w:rPr>
              <w:t>Audit program for accounts payable and other liabilities</w:t>
            </w:r>
          </w:p>
        </w:tc>
        <w:tc>
          <w:tcPr>
            <w:tcW w:w="1737" w:type="dxa"/>
          </w:tcPr>
          <w:p w:rsidR="008F4D0A" w:rsidRPr="00FB02B7" w:rsidRDefault="008F4D0A" w:rsidP="007E6BF5">
            <w:pPr>
              <w:rPr>
                <w:rFonts w:ascii="Cambria" w:hAnsi="Cambria"/>
                <w:sz w:val="22"/>
                <w:szCs w:val="22"/>
              </w:rPr>
            </w:pPr>
          </w:p>
        </w:tc>
      </w:tr>
      <w:tr w:rsidR="008F4D0A" w:rsidRPr="00FB02B7" w:rsidTr="007E6BF5">
        <w:tc>
          <w:tcPr>
            <w:tcW w:w="2226" w:type="dxa"/>
          </w:tcPr>
          <w:p w:rsidR="008F4D0A" w:rsidRPr="00FB02B7" w:rsidRDefault="008F4D0A" w:rsidP="007E6BF5">
            <w:pPr>
              <w:rPr>
                <w:rFonts w:ascii="Cambria" w:hAnsi="Cambria"/>
                <w:sz w:val="22"/>
                <w:szCs w:val="22"/>
              </w:rPr>
            </w:pPr>
          </w:p>
        </w:tc>
        <w:tc>
          <w:tcPr>
            <w:tcW w:w="5613" w:type="dxa"/>
          </w:tcPr>
          <w:p w:rsidR="008F4D0A" w:rsidRPr="00FB02B7" w:rsidRDefault="008F4D0A" w:rsidP="008F4D0A">
            <w:pPr>
              <w:pStyle w:val="ListParagraph"/>
              <w:numPr>
                <w:ilvl w:val="0"/>
                <w:numId w:val="2"/>
              </w:numPr>
              <w:rPr>
                <w:rFonts w:ascii="Cambria" w:hAnsi="Cambria"/>
                <w:b/>
                <w:sz w:val="22"/>
                <w:szCs w:val="22"/>
                <w:lang w:val="en-US" w:eastAsia="en-US"/>
              </w:rPr>
            </w:pPr>
            <w:r w:rsidRPr="00FB02B7">
              <w:rPr>
                <w:rFonts w:ascii="Cambria" w:hAnsi="Cambria"/>
                <w:b/>
                <w:sz w:val="22"/>
                <w:szCs w:val="22"/>
                <w:lang w:val="en-US" w:eastAsia="en-US"/>
              </w:rPr>
              <w:t>Audit of Debt and Equity capital</w:t>
            </w:r>
          </w:p>
          <w:p w:rsidR="008F4D0A" w:rsidRPr="00FB02B7" w:rsidRDefault="008F4D0A" w:rsidP="008F4D0A">
            <w:pPr>
              <w:pStyle w:val="ListParagraph"/>
              <w:numPr>
                <w:ilvl w:val="1"/>
                <w:numId w:val="2"/>
              </w:numPr>
              <w:ind w:left="874" w:hanging="450"/>
              <w:rPr>
                <w:rFonts w:ascii="Cambria" w:hAnsi="Cambria"/>
                <w:sz w:val="22"/>
                <w:szCs w:val="22"/>
                <w:lang w:val="en-US" w:eastAsia="en-US"/>
              </w:rPr>
            </w:pPr>
            <w:r w:rsidRPr="00FB02B7">
              <w:rPr>
                <w:rFonts w:ascii="Cambria" w:hAnsi="Cambria"/>
                <w:sz w:val="22"/>
                <w:szCs w:val="22"/>
                <w:lang w:val="en-US" w:eastAsia="en-US"/>
              </w:rPr>
              <w:t>Internal control over interest bearing debt</w:t>
            </w:r>
          </w:p>
          <w:p w:rsidR="008F4D0A" w:rsidRPr="00FB02B7" w:rsidRDefault="008F4D0A" w:rsidP="008F4D0A">
            <w:pPr>
              <w:pStyle w:val="ListParagraph"/>
              <w:numPr>
                <w:ilvl w:val="1"/>
                <w:numId w:val="2"/>
              </w:numPr>
              <w:ind w:left="874" w:hanging="450"/>
              <w:rPr>
                <w:rFonts w:ascii="Cambria" w:hAnsi="Cambria"/>
                <w:sz w:val="22"/>
                <w:szCs w:val="22"/>
                <w:lang w:val="en-US" w:eastAsia="en-US"/>
              </w:rPr>
            </w:pPr>
            <w:r w:rsidRPr="00FB02B7">
              <w:rPr>
                <w:rFonts w:ascii="Cambria" w:hAnsi="Cambria"/>
                <w:sz w:val="22"/>
                <w:szCs w:val="22"/>
                <w:lang w:val="en-US" w:eastAsia="en-US"/>
              </w:rPr>
              <w:t>Audit programs for interest bearing debt</w:t>
            </w:r>
          </w:p>
          <w:p w:rsidR="008F4D0A" w:rsidRPr="00FB02B7" w:rsidRDefault="008F4D0A" w:rsidP="008F4D0A">
            <w:pPr>
              <w:pStyle w:val="ListParagraph"/>
              <w:numPr>
                <w:ilvl w:val="1"/>
                <w:numId w:val="2"/>
              </w:numPr>
              <w:ind w:left="874" w:hanging="450"/>
              <w:rPr>
                <w:rFonts w:ascii="Cambria" w:hAnsi="Cambria"/>
                <w:sz w:val="22"/>
                <w:szCs w:val="22"/>
                <w:lang w:val="en-US" w:eastAsia="en-US"/>
              </w:rPr>
            </w:pPr>
            <w:r w:rsidRPr="00FB02B7">
              <w:rPr>
                <w:rFonts w:ascii="Cambria" w:hAnsi="Cambria"/>
                <w:sz w:val="22"/>
                <w:szCs w:val="22"/>
                <w:lang w:val="en-US" w:eastAsia="en-US"/>
              </w:rPr>
              <w:t>Internal control over equity capital and dividends</w:t>
            </w:r>
          </w:p>
          <w:p w:rsidR="008F4D0A" w:rsidRPr="00FB02B7" w:rsidRDefault="008F4D0A" w:rsidP="008F4D0A">
            <w:pPr>
              <w:pStyle w:val="ListParagraph"/>
              <w:numPr>
                <w:ilvl w:val="1"/>
                <w:numId w:val="2"/>
              </w:numPr>
              <w:ind w:left="874" w:hanging="450"/>
              <w:rPr>
                <w:rFonts w:ascii="Cambria" w:hAnsi="Cambria"/>
                <w:sz w:val="22"/>
                <w:szCs w:val="22"/>
                <w:lang w:val="en-US" w:eastAsia="en-US"/>
              </w:rPr>
            </w:pPr>
            <w:r w:rsidRPr="00FB02B7">
              <w:rPr>
                <w:rFonts w:ascii="Cambria" w:hAnsi="Cambria"/>
                <w:sz w:val="22"/>
                <w:szCs w:val="22"/>
                <w:lang w:val="en-US" w:eastAsia="en-US"/>
              </w:rPr>
              <w:t>Audit program for capital stock</w:t>
            </w:r>
          </w:p>
          <w:p w:rsidR="008F4D0A" w:rsidRPr="00FB02B7" w:rsidRDefault="008F4D0A" w:rsidP="008F4D0A">
            <w:pPr>
              <w:pStyle w:val="ListParagraph"/>
              <w:numPr>
                <w:ilvl w:val="1"/>
                <w:numId w:val="2"/>
              </w:numPr>
              <w:ind w:left="874" w:hanging="450"/>
              <w:rPr>
                <w:rFonts w:ascii="Cambria" w:hAnsi="Cambria"/>
                <w:sz w:val="22"/>
                <w:szCs w:val="22"/>
                <w:lang w:val="en-US" w:eastAsia="en-US"/>
              </w:rPr>
            </w:pPr>
            <w:r w:rsidRPr="00FB02B7">
              <w:rPr>
                <w:rFonts w:ascii="Cambria" w:hAnsi="Cambria"/>
                <w:sz w:val="22"/>
                <w:szCs w:val="22"/>
                <w:lang w:val="en-US" w:eastAsia="en-US"/>
              </w:rPr>
              <w:t>Audit of sole proprietorships, and partnerships</w:t>
            </w:r>
          </w:p>
          <w:p w:rsidR="008F4D0A" w:rsidRPr="00FB02B7" w:rsidRDefault="008F4D0A" w:rsidP="008F4D0A">
            <w:pPr>
              <w:pStyle w:val="ListParagraph"/>
              <w:numPr>
                <w:ilvl w:val="1"/>
                <w:numId w:val="2"/>
              </w:numPr>
              <w:ind w:left="874" w:hanging="450"/>
              <w:rPr>
                <w:rFonts w:ascii="Cambria" w:hAnsi="Cambria"/>
                <w:sz w:val="22"/>
                <w:szCs w:val="22"/>
                <w:lang w:val="en-US" w:eastAsia="en-US"/>
              </w:rPr>
            </w:pPr>
            <w:r w:rsidRPr="00FB02B7">
              <w:rPr>
                <w:rFonts w:ascii="Cambria" w:hAnsi="Cambria"/>
                <w:sz w:val="22"/>
                <w:szCs w:val="22"/>
                <w:lang w:val="en-US" w:eastAsia="en-US"/>
              </w:rPr>
              <w:t xml:space="preserve">Disclosure of contingencies </w:t>
            </w:r>
          </w:p>
          <w:p w:rsidR="008F4D0A" w:rsidRPr="00FB02B7" w:rsidRDefault="008F4D0A" w:rsidP="007E6BF5">
            <w:pPr>
              <w:rPr>
                <w:rFonts w:ascii="Cambria" w:hAnsi="Cambria"/>
                <w:sz w:val="22"/>
                <w:szCs w:val="22"/>
              </w:rPr>
            </w:pPr>
          </w:p>
        </w:tc>
        <w:tc>
          <w:tcPr>
            <w:tcW w:w="1737" w:type="dxa"/>
          </w:tcPr>
          <w:p w:rsidR="008F4D0A" w:rsidRPr="00FB02B7" w:rsidRDefault="008F4D0A" w:rsidP="007E6BF5">
            <w:pPr>
              <w:rPr>
                <w:rFonts w:ascii="Cambria" w:hAnsi="Cambria"/>
                <w:sz w:val="22"/>
                <w:szCs w:val="22"/>
              </w:rPr>
            </w:pPr>
          </w:p>
        </w:tc>
      </w:tr>
      <w:tr w:rsidR="008F4D0A" w:rsidRPr="00FB02B7" w:rsidTr="007E6BF5">
        <w:tc>
          <w:tcPr>
            <w:tcW w:w="2226" w:type="dxa"/>
          </w:tcPr>
          <w:p w:rsidR="008F4D0A" w:rsidRPr="00FB02B7" w:rsidRDefault="008F4D0A" w:rsidP="007E6BF5">
            <w:pPr>
              <w:rPr>
                <w:rFonts w:ascii="Cambria" w:hAnsi="Cambria"/>
                <w:sz w:val="22"/>
                <w:szCs w:val="22"/>
              </w:rPr>
            </w:pPr>
            <w:r w:rsidRPr="00FB02B7">
              <w:rPr>
                <w:rFonts w:ascii="Cambria" w:hAnsi="Cambria" w:cs="Calibri"/>
                <w:sz w:val="22"/>
                <w:szCs w:val="22"/>
              </w:rPr>
              <w:t>Teaching &amp; Learning Methods/strategy</w:t>
            </w:r>
          </w:p>
        </w:tc>
        <w:tc>
          <w:tcPr>
            <w:tcW w:w="7350" w:type="dxa"/>
            <w:gridSpan w:val="2"/>
          </w:tcPr>
          <w:p w:rsidR="008F4D0A" w:rsidRPr="00FB02B7" w:rsidRDefault="008F4D0A" w:rsidP="007E6BF5">
            <w:pPr>
              <w:ind w:right="194"/>
              <w:jc w:val="both"/>
              <w:rPr>
                <w:rFonts w:ascii="Cambria" w:hAnsi="Cambria" w:cs="Calibri"/>
                <w:sz w:val="22"/>
                <w:szCs w:val="22"/>
              </w:rPr>
            </w:pPr>
            <w:r w:rsidRPr="00FB02B7">
              <w:rPr>
                <w:rFonts w:ascii="Cambria" w:eastAsia="Calibri" w:hAnsi="Cambria" w:cs="Calibri"/>
                <w:sz w:val="22"/>
                <w:szCs w:val="22"/>
              </w:rPr>
              <w:t xml:space="preserve">The teaching and learning methodology include lecturing, discussions, problem solving, and analysis. Take-home assignment will be given at the end of each chapter for submission within a week. Solution to the assignments will be given once assignments are collected. Cases with local relevance will also be given for each chapter for group of students to present in a class room. The full and active participation of students is highly encouraged.  </w:t>
            </w:r>
          </w:p>
          <w:p w:rsidR="008F4D0A" w:rsidRPr="00FB02B7" w:rsidRDefault="008F4D0A" w:rsidP="007E6BF5">
            <w:pPr>
              <w:rPr>
                <w:rFonts w:ascii="Cambria" w:hAnsi="Cambria"/>
                <w:sz w:val="22"/>
                <w:szCs w:val="22"/>
              </w:rPr>
            </w:pPr>
          </w:p>
        </w:tc>
      </w:tr>
      <w:tr w:rsidR="008F4D0A" w:rsidRPr="00FB02B7" w:rsidTr="007E6BF5">
        <w:tc>
          <w:tcPr>
            <w:tcW w:w="2226" w:type="dxa"/>
          </w:tcPr>
          <w:p w:rsidR="008F4D0A" w:rsidRPr="00FB02B7" w:rsidRDefault="008F4D0A" w:rsidP="007E6BF5">
            <w:pPr>
              <w:ind w:right="194"/>
              <w:jc w:val="both"/>
              <w:rPr>
                <w:rFonts w:ascii="Cambria" w:hAnsi="Cambria"/>
                <w:sz w:val="22"/>
                <w:szCs w:val="22"/>
              </w:rPr>
            </w:pPr>
            <w:r w:rsidRPr="00FB02B7">
              <w:rPr>
                <w:rFonts w:ascii="Cambria" w:hAnsi="Cambria" w:cs="Calibri"/>
                <w:sz w:val="22"/>
                <w:szCs w:val="22"/>
              </w:rPr>
              <w:t xml:space="preserve">Assessment/Evaluation </w:t>
            </w:r>
          </w:p>
        </w:tc>
        <w:tc>
          <w:tcPr>
            <w:tcW w:w="7350" w:type="dxa"/>
            <w:gridSpan w:val="2"/>
          </w:tcPr>
          <w:p w:rsidR="008F4D0A" w:rsidRPr="00FB02B7" w:rsidRDefault="008F4D0A" w:rsidP="007E6BF5">
            <w:pPr>
              <w:rPr>
                <w:rFonts w:ascii="Cambria" w:hAnsi="Cambria"/>
                <w:sz w:val="22"/>
                <w:szCs w:val="22"/>
              </w:rPr>
            </w:pPr>
          </w:p>
          <w:p w:rsidR="008F4D0A" w:rsidRPr="00FB02B7" w:rsidRDefault="008F4D0A" w:rsidP="007E6BF5">
            <w:pPr>
              <w:ind w:right="194"/>
              <w:jc w:val="both"/>
              <w:rPr>
                <w:rFonts w:ascii="Cambria" w:hAnsi="Cambria" w:cs="Calibri"/>
                <w:sz w:val="22"/>
                <w:szCs w:val="22"/>
              </w:rPr>
            </w:pPr>
            <w:r w:rsidRPr="00FB02B7">
              <w:rPr>
                <w:rFonts w:ascii="Cambria" w:hAnsi="Cambria" w:cs="Calibri"/>
                <w:sz w:val="22"/>
                <w:szCs w:val="22"/>
              </w:rPr>
              <w:t xml:space="preserve">The evaluation scheme will be as follows:  </w:t>
            </w:r>
          </w:p>
          <w:p w:rsidR="008F4D0A" w:rsidRPr="00FB02B7" w:rsidRDefault="008F4D0A" w:rsidP="007E6BF5">
            <w:pPr>
              <w:ind w:right="194"/>
              <w:jc w:val="both"/>
              <w:rPr>
                <w:rFonts w:ascii="Cambria" w:hAnsi="Cambri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850"/>
              <w:gridCol w:w="959"/>
              <w:gridCol w:w="1517"/>
              <w:gridCol w:w="880"/>
              <w:gridCol w:w="972"/>
            </w:tblGrid>
            <w:tr w:rsidR="008F4D0A" w:rsidRPr="00FB02B7" w:rsidTr="007E6BF5">
              <w:trPr>
                <w:trHeight w:val="29"/>
              </w:trPr>
              <w:tc>
                <w:tcPr>
                  <w:tcW w:w="850"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Test 1</w:t>
                  </w:r>
                </w:p>
              </w:tc>
              <w:tc>
                <w:tcPr>
                  <w:tcW w:w="850"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Test 2</w:t>
                  </w:r>
                </w:p>
              </w:tc>
              <w:tc>
                <w:tcPr>
                  <w:tcW w:w="850"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Test 3</w:t>
                  </w:r>
                </w:p>
              </w:tc>
              <w:tc>
                <w:tcPr>
                  <w:tcW w:w="959"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Quiz1</w:t>
                  </w:r>
                </w:p>
              </w:tc>
              <w:tc>
                <w:tcPr>
                  <w:tcW w:w="1517"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Assignment 1</w:t>
                  </w:r>
                </w:p>
              </w:tc>
              <w:tc>
                <w:tcPr>
                  <w:tcW w:w="880"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 xml:space="preserve">Final </w:t>
                  </w:r>
                </w:p>
              </w:tc>
              <w:tc>
                <w:tcPr>
                  <w:tcW w:w="972"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 xml:space="preserve">Total </w:t>
                  </w:r>
                </w:p>
              </w:tc>
            </w:tr>
            <w:tr w:rsidR="008F4D0A" w:rsidRPr="00FB02B7" w:rsidTr="007E6BF5">
              <w:trPr>
                <w:trHeight w:val="29"/>
              </w:trPr>
              <w:tc>
                <w:tcPr>
                  <w:tcW w:w="850"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10%</w:t>
                  </w:r>
                </w:p>
              </w:tc>
              <w:tc>
                <w:tcPr>
                  <w:tcW w:w="850"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10%</w:t>
                  </w:r>
                </w:p>
              </w:tc>
              <w:tc>
                <w:tcPr>
                  <w:tcW w:w="850"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15%</w:t>
                  </w:r>
                </w:p>
              </w:tc>
              <w:tc>
                <w:tcPr>
                  <w:tcW w:w="959"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5%</w:t>
                  </w:r>
                </w:p>
              </w:tc>
              <w:tc>
                <w:tcPr>
                  <w:tcW w:w="1517"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10%</w:t>
                  </w:r>
                </w:p>
              </w:tc>
              <w:tc>
                <w:tcPr>
                  <w:tcW w:w="880"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50%</w:t>
                  </w:r>
                </w:p>
              </w:tc>
              <w:tc>
                <w:tcPr>
                  <w:tcW w:w="972" w:type="dxa"/>
                </w:tcPr>
                <w:p w:rsidR="008F4D0A" w:rsidRPr="00FB02B7" w:rsidRDefault="008F4D0A" w:rsidP="007E6BF5">
                  <w:pPr>
                    <w:ind w:right="194"/>
                    <w:jc w:val="both"/>
                    <w:rPr>
                      <w:rFonts w:ascii="Cambria" w:hAnsi="Cambria" w:cs="Calibri"/>
                    </w:rPr>
                  </w:pPr>
                  <w:r w:rsidRPr="00FB02B7">
                    <w:rPr>
                      <w:rFonts w:ascii="Cambria" w:hAnsi="Cambria" w:cs="Calibri"/>
                      <w:sz w:val="22"/>
                      <w:szCs w:val="22"/>
                    </w:rPr>
                    <w:t>100%</w:t>
                  </w:r>
                </w:p>
              </w:tc>
            </w:tr>
          </w:tbl>
          <w:p w:rsidR="008F4D0A" w:rsidRPr="00FB02B7" w:rsidRDefault="008F4D0A" w:rsidP="007E6BF5">
            <w:pPr>
              <w:rPr>
                <w:rFonts w:ascii="Cambria" w:hAnsi="Cambria"/>
                <w:sz w:val="22"/>
                <w:szCs w:val="22"/>
              </w:rPr>
            </w:pPr>
          </w:p>
        </w:tc>
      </w:tr>
      <w:tr w:rsidR="008F4D0A" w:rsidRPr="00FB02B7" w:rsidTr="007E6BF5">
        <w:tc>
          <w:tcPr>
            <w:tcW w:w="2226" w:type="dxa"/>
          </w:tcPr>
          <w:p w:rsidR="008F4D0A" w:rsidRPr="00FB02B7" w:rsidRDefault="008F4D0A" w:rsidP="007E6BF5">
            <w:pPr>
              <w:rPr>
                <w:rFonts w:ascii="Cambria" w:hAnsi="Cambria"/>
                <w:sz w:val="22"/>
                <w:szCs w:val="22"/>
              </w:rPr>
            </w:pPr>
            <w:r w:rsidRPr="00FB02B7">
              <w:rPr>
                <w:rFonts w:ascii="Cambria" w:hAnsi="Cambria" w:cs="Calibri"/>
                <w:sz w:val="22"/>
                <w:szCs w:val="22"/>
              </w:rPr>
              <w:t>Work load in hours</w:t>
            </w:r>
          </w:p>
        </w:tc>
        <w:tc>
          <w:tcPr>
            <w:tcW w:w="7350" w:type="dxa"/>
            <w:gridSpan w:val="2"/>
          </w:tcPr>
          <w:tbl>
            <w:tblPr>
              <w:tblpPr w:leftFromText="180" w:rightFromText="180" w:vertAnchor="text" w:horzAnchor="margin" w:tblpX="-10" w:tblpY="211"/>
              <w:tblOverlap w:val="never"/>
              <w:tblW w:w="7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71"/>
              <w:gridCol w:w="1104"/>
              <w:gridCol w:w="848"/>
              <w:gridCol w:w="725"/>
              <w:gridCol w:w="1031"/>
              <w:gridCol w:w="818"/>
              <w:gridCol w:w="576"/>
              <w:gridCol w:w="577"/>
            </w:tblGrid>
            <w:tr w:rsidR="008F4D0A" w:rsidRPr="00FB02B7" w:rsidTr="007E6BF5">
              <w:trPr>
                <w:trHeight w:val="375"/>
              </w:trPr>
              <w:tc>
                <w:tcPr>
                  <w:tcW w:w="5948" w:type="dxa"/>
                  <w:gridSpan w:val="7"/>
                  <w:shd w:val="clear" w:color="auto" w:fill="auto"/>
                  <w:noWrap/>
                  <w:vAlign w:val="center"/>
                </w:tcPr>
                <w:p w:rsidR="008F4D0A" w:rsidRPr="00FB02B7" w:rsidRDefault="008F4D0A" w:rsidP="007E6BF5">
                  <w:pPr>
                    <w:rPr>
                      <w:rFonts w:ascii="Cambria" w:hAnsi="Cambria"/>
                      <w:bCs/>
                      <w:sz w:val="20"/>
                      <w:szCs w:val="20"/>
                    </w:rPr>
                  </w:pPr>
                  <w:r w:rsidRPr="00FB02B7">
                    <w:rPr>
                      <w:rFonts w:ascii="Cambria" w:hAnsi="Cambria"/>
                      <w:bCs/>
                      <w:sz w:val="20"/>
                      <w:szCs w:val="20"/>
                    </w:rPr>
                    <w:t>Hours Required</w:t>
                  </w:r>
                </w:p>
              </w:tc>
              <w:tc>
                <w:tcPr>
                  <w:tcW w:w="588" w:type="dxa"/>
                  <w:vMerge w:val="restart"/>
                  <w:shd w:val="clear" w:color="auto" w:fill="auto"/>
                  <w:noWrap/>
                  <w:vAlign w:val="center"/>
                </w:tcPr>
                <w:p w:rsidR="008F4D0A" w:rsidRPr="00FB02B7" w:rsidRDefault="008F4D0A" w:rsidP="007E6BF5">
                  <w:pPr>
                    <w:rPr>
                      <w:rFonts w:ascii="Cambria" w:hAnsi="Cambria"/>
                      <w:bCs/>
                      <w:sz w:val="20"/>
                      <w:szCs w:val="20"/>
                    </w:rPr>
                  </w:pPr>
                  <w:r w:rsidRPr="00FB02B7">
                    <w:rPr>
                      <w:rFonts w:ascii="Cambria" w:hAnsi="Cambria"/>
                      <w:bCs/>
                      <w:sz w:val="20"/>
                      <w:szCs w:val="20"/>
                    </w:rPr>
                    <w:t xml:space="preserve">Total </w:t>
                  </w:r>
                  <w:proofErr w:type="spellStart"/>
                  <w:r w:rsidRPr="00FB02B7">
                    <w:rPr>
                      <w:rFonts w:ascii="Cambria" w:hAnsi="Cambria"/>
                      <w:bCs/>
                      <w:sz w:val="20"/>
                      <w:szCs w:val="20"/>
                    </w:rPr>
                    <w:t>Hrs</w:t>
                  </w:r>
                  <w:proofErr w:type="spellEnd"/>
                </w:p>
              </w:tc>
              <w:tc>
                <w:tcPr>
                  <w:tcW w:w="589" w:type="dxa"/>
                  <w:vMerge w:val="restart"/>
                  <w:shd w:val="clear" w:color="auto" w:fill="auto"/>
                  <w:noWrap/>
                  <w:vAlign w:val="center"/>
                </w:tcPr>
                <w:p w:rsidR="008F4D0A" w:rsidRPr="00FB02B7" w:rsidRDefault="008F4D0A" w:rsidP="007E6BF5">
                  <w:pPr>
                    <w:rPr>
                      <w:rFonts w:ascii="Cambria" w:hAnsi="Cambria"/>
                      <w:bCs/>
                      <w:sz w:val="20"/>
                      <w:szCs w:val="20"/>
                    </w:rPr>
                  </w:pPr>
                  <w:r w:rsidRPr="00FB02B7">
                    <w:rPr>
                      <w:rFonts w:ascii="Cambria" w:hAnsi="Cambria"/>
                      <w:bCs/>
                      <w:sz w:val="20"/>
                      <w:szCs w:val="20"/>
                    </w:rPr>
                    <w:t>ECTS</w:t>
                  </w:r>
                </w:p>
              </w:tc>
            </w:tr>
            <w:tr w:rsidR="008F4D0A" w:rsidRPr="00FB02B7" w:rsidTr="007E6BF5">
              <w:trPr>
                <w:trHeight w:val="375"/>
              </w:trPr>
              <w:tc>
                <w:tcPr>
                  <w:tcW w:w="833" w:type="dxa"/>
                  <w:shd w:val="clear" w:color="auto" w:fill="auto"/>
                  <w:noWrap/>
                  <w:vAlign w:val="bottom"/>
                  <w:hideMark/>
                </w:tcPr>
                <w:p w:rsidR="008F4D0A" w:rsidRPr="00FB02B7" w:rsidRDefault="008F4D0A" w:rsidP="007E6BF5">
                  <w:pPr>
                    <w:rPr>
                      <w:rFonts w:ascii="Cambria" w:hAnsi="Cambria"/>
                      <w:bCs/>
                      <w:sz w:val="20"/>
                      <w:szCs w:val="20"/>
                    </w:rPr>
                  </w:pPr>
                  <w:r w:rsidRPr="00FB02B7">
                    <w:rPr>
                      <w:rFonts w:ascii="Cambria" w:hAnsi="Cambria"/>
                      <w:bCs/>
                      <w:sz w:val="20"/>
                      <w:szCs w:val="20"/>
                    </w:rPr>
                    <w:t>Lectures</w:t>
                  </w:r>
                </w:p>
              </w:tc>
              <w:tc>
                <w:tcPr>
                  <w:tcW w:w="479" w:type="dxa"/>
                  <w:shd w:val="clear" w:color="auto" w:fill="auto"/>
                  <w:noWrap/>
                  <w:vAlign w:val="bottom"/>
                  <w:hideMark/>
                </w:tcPr>
                <w:p w:rsidR="008F4D0A" w:rsidRPr="00FB02B7" w:rsidRDefault="008F4D0A" w:rsidP="007E6BF5">
                  <w:pPr>
                    <w:rPr>
                      <w:rFonts w:ascii="Cambria" w:hAnsi="Cambria"/>
                      <w:bCs/>
                      <w:sz w:val="20"/>
                      <w:szCs w:val="20"/>
                    </w:rPr>
                  </w:pPr>
                  <w:r w:rsidRPr="00FB02B7">
                    <w:rPr>
                      <w:rFonts w:ascii="Cambria" w:hAnsi="Cambria"/>
                      <w:bCs/>
                      <w:sz w:val="20"/>
                      <w:szCs w:val="20"/>
                    </w:rPr>
                    <w:t>Lab</w:t>
                  </w:r>
                </w:p>
              </w:tc>
              <w:tc>
                <w:tcPr>
                  <w:tcW w:w="1132" w:type="dxa"/>
                  <w:shd w:val="clear" w:color="auto" w:fill="auto"/>
                  <w:noWrap/>
                  <w:vAlign w:val="bottom"/>
                  <w:hideMark/>
                </w:tcPr>
                <w:p w:rsidR="008F4D0A" w:rsidRPr="00FB02B7" w:rsidRDefault="008F4D0A" w:rsidP="007E6BF5">
                  <w:pPr>
                    <w:rPr>
                      <w:rFonts w:ascii="Cambria" w:hAnsi="Cambria"/>
                      <w:bCs/>
                      <w:sz w:val="20"/>
                      <w:szCs w:val="20"/>
                    </w:rPr>
                  </w:pPr>
                  <w:r w:rsidRPr="00FB02B7">
                    <w:rPr>
                      <w:rFonts w:ascii="Cambria" w:hAnsi="Cambria"/>
                      <w:bCs/>
                      <w:sz w:val="20"/>
                      <w:szCs w:val="20"/>
                    </w:rPr>
                    <w:t>Assessments</w:t>
                  </w:r>
                </w:p>
              </w:tc>
              <w:tc>
                <w:tcPr>
                  <w:tcW w:w="868" w:type="dxa"/>
                  <w:shd w:val="clear" w:color="auto" w:fill="auto"/>
                  <w:noWrap/>
                  <w:vAlign w:val="bottom"/>
                  <w:hideMark/>
                </w:tcPr>
                <w:p w:rsidR="008F4D0A" w:rsidRPr="00FB02B7" w:rsidRDefault="008F4D0A" w:rsidP="007E6BF5">
                  <w:pPr>
                    <w:rPr>
                      <w:rFonts w:ascii="Cambria" w:hAnsi="Cambria"/>
                      <w:bCs/>
                      <w:sz w:val="20"/>
                      <w:szCs w:val="20"/>
                    </w:rPr>
                  </w:pPr>
                  <w:r w:rsidRPr="00FB02B7">
                    <w:rPr>
                      <w:rFonts w:ascii="Cambria" w:hAnsi="Cambria"/>
                      <w:bCs/>
                      <w:sz w:val="20"/>
                      <w:szCs w:val="20"/>
                    </w:rPr>
                    <w:t>Tutorials</w:t>
                  </w:r>
                </w:p>
              </w:tc>
              <w:tc>
                <w:tcPr>
                  <w:tcW w:w="741" w:type="dxa"/>
                  <w:shd w:val="clear" w:color="auto" w:fill="auto"/>
                  <w:noWrap/>
                  <w:vAlign w:val="bottom"/>
                  <w:hideMark/>
                </w:tcPr>
                <w:p w:rsidR="008F4D0A" w:rsidRPr="00FB02B7" w:rsidRDefault="008F4D0A" w:rsidP="007E6BF5">
                  <w:pPr>
                    <w:rPr>
                      <w:rFonts w:ascii="Cambria" w:hAnsi="Cambria"/>
                      <w:bCs/>
                      <w:sz w:val="20"/>
                      <w:szCs w:val="20"/>
                    </w:rPr>
                  </w:pPr>
                  <w:r w:rsidRPr="00FB02B7">
                    <w:rPr>
                      <w:rFonts w:ascii="Cambria" w:hAnsi="Cambria"/>
                      <w:bCs/>
                      <w:sz w:val="20"/>
                      <w:szCs w:val="20"/>
                    </w:rPr>
                    <w:t>Self-Studies</w:t>
                  </w:r>
                </w:p>
              </w:tc>
              <w:tc>
                <w:tcPr>
                  <w:tcW w:w="1057" w:type="dxa"/>
                  <w:shd w:val="clear" w:color="auto" w:fill="auto"/>
                  <w:noWrap/>
                  <w:vAlign w:val="bottom"/>
                  <w:hideMark/>
                </w:tcPr>
                <w:p w:rsidR="008F4D0A" w:rsidRPr="00FB02B7" w:rsidRDefault="008F4D0A" w:rsidP="007E6BF5">
                  <w:pPr>
                    <w:rPr>
                      <w:rFonts w:ascii="Cambria" w:hAnsi="Cambria"/>
                      <w:bCs/>
                      <w:sz w:val="20"/>
                      <w:szCs w:val="20"/>
                    </w:rPr>
                  </w:pPr>
                  <w:r w:rsidRPr="00FB02B7">
                    <w:rPr>
                      <w:rFonts w:ascii="Cambria" w:hAnsi="Cambria"/>
                      <w:bCs/>
                      <w:sz w:val="20"/>
                      <w:szCs w:val="20"/>
                    </w:rPr>
                    <w:t>Assignment</w:t>
                  </w:r>
                </w:p>
              </w:tc>
              <w:tc>
                <w:tcPr>
                  <w:tcW w:w="838" w:type="dxa"/>
                  <w:shd w:val="clear" w:color="auto" w:fill="auto"/>
                  <w:noWrap/>
                  <w:vAlign w:val="bottom"/>
                  <w:hideMark/>
                </w:tcPr>
                <w:p w:rsidR="008F4D0A" w:rsidRPr="00FB02B7" w:rsidRDefault="008F4D0A" w:rsidP="007E6BF5">
                  <w:pPr>
                    <w:rPr>
                      <w:rFonts w:ascii="Cambria" w:hAnsi="Cambria"/>
                      <w:bCs/>
                      <w:sz w:val="20"/>
                      <w:szCs w:val="20"/>
                    </w:rPr>
                  </w:pPr>
                  <w:r w:rsidRPr="00FB02B7">
                    <w:rPr>
                      <w:rFonts w:ascii="Cambria" w:hAnsi="Cambria"/>
                      <w:bCs/>
                      <w:sz w:val="20"/>
                      <w:szCs w:val="20"/>
                    </w:rPr>
                    <w:t>Advising</w:t>
                  </w:r>
                </w:p>
              </w:tc>
              <w:tc>
                <w:tcPr>
                  <w:tcW w:w="588" w:type="dxa"/>
                  <w:vMerge/>
                  <w:shd w:val="clear" w:color="auto" w:fill="auto"/>
                  <w:noWrap/>
                  <w:vAlign w:val="bottom"/>
                  <w:hideMark/>
                </w:tcPr>
                <w:p w:rsidR="008F4D0A" w:rsidRPr="00FB02B7" w:rsidRDefault="008F4D0A" w:rsidP="007E6BF5">
                  <w:pPr>
                    <w:rPr>
                      <w:rFonts w:ascii="Cambria" w:hAnsi="Cambria"/>
                      <w:bCs/>
                      <w:sz w:val="20"/>
                      <w:szCs w:val="20"/>
                    </w:rPr>
                  </w:pPr>
                </w:p>
              </w:tc>
              <w:tc>
                <w:tcPr>
                  <w:tcW w:w="589" w:type="dxa"/>
                  <w:vMerge/>
                  <w:shd w:val="clear" w:color="auto" w:fill="auto"/>
                  <w:noWrap/>
                  <w:vAlign w:val="bottom"/>
                  <w:hideMark/>
                </w:tcPr>
                <w:p w:rsidR="008F4D0A" w:rsidRPr="00FB02B7" w:rsidRDefault="008F4D0A" w:rsidP="007E6BF5">
                  <w:pPr>
                    <w:rPr>
                      <w:rFonts w:ascii="Cambria" w:hAnsi="Cambria"/>
                      <w:bCs/>
                      <w:sz w:val="20"/>
                      <w:szCs w:val="20"/>
                    </w:rPr>
                  </w:pPr>
                </w:p>
              </w:tc>
            </w:tr>
            <w:tr w:rsidR="008F4D0A" w:rsidRPr="00FB02B7" w:rsidTr="007E6BF5">
              <w:trPr>
                <w:trHeight w:val="375"/>
              </w:trPr>
              <w:tc>
                <w:tcPr>
                  <w:tcW w:w="833" w:type="dxa"/>
                  <w:shd w:val="clear" w:color="auto" w:fill="auto"/>
                  <w:noWrap/>
                  <w:vAlign w:val="bottom"/>
                  <w:hideMark/>
                </w:tcPr>
                <w:p w:rsidR="008F4D0A" w:rsidRPr="00FB02B7" w:rsidRDefault="008F4D0A" w:rsidP="007E6BF5">
                  <w:pPr>
                    <w:jc w:val="right"/>
                    <w:rPr>
                      <w:rFonts w:ascii="Cambria" w:hAnsi="Cambria"/>
                      <w:bCs/>
                    </w:rPr>
                  </w:pPr>
                  <w:r w:rsidRPr="00FB02B7">
                    <w:rPr>
                      <w:rFonts w:ascii="Cambria" w:hAnsi="Cambria"/>
                      <w:bCs/>
                      <w:sz w:val="22"/>
                      <w:szCs w:val="22"/>
                    </w:rPr>
                    <w:t>48</w:t>
                  </w:r>
                </w:p>
              </w:tc>
              <w:tc>
                <w:tcPr>
                  <w:tcW w:w="479" w:type="dxa"/>
                  <w:shd w:val="clear" w:color="auto" w:fill="auto"/>
                  <w:noWrap/>
                  <w:vAlign w:val="bottom"/>
                  <w:hideMark/>
                </w:tcPr>
                <w:p w:rsidR="008F4D0A" w:rsidRPr="00FB02B7" w:rsidRDefault="008F4D0A" w:rsidP="007E6BF5">
                  <w:pPr>
                    <w:rPr>
                      <w:rFonts w:ascii="Cambria" w:hAnsi="Cambria"/>
                      <w:bCs/>
                    </w:rPr>
                  </w:pPr>
                  <w:r w:rsidRPr="00FB02B7">
                    <w:rPr>
                      <w:rFonts w:ascii="Cambria" w:hAnsi="Cambria"/>
                      <w:bCs/>
                      <w:sz w:val="22"/>
                      <w:szCs w:val="22"/>
                    </w:rPr>
                    <w:t> -</w:t>
                  </w:r>
                </w:p>
              </w:tc>
              <w:tc>
                <w:tcPr>
                  <w:tcW w:w="1132" w:type="dxa"/>
                  <w:shd w:val="clear" w:color="auto" w:fill="auto"/>
                  <w:noWrap/>
                  <w:vAlign w:val="bottom"/>
                  <w:hideMark/>
                </w:tcPr>
                <w:p w:rsidR="008F4D0A" w:rsidRPr="00FB02B7" w:rsidRDefault="008F4D0A" w:rsidP="007E6BF5">
                  <w:pPr>
                    <w:jc w:val="right"/>
                    <w:rPr>
                      <w:rFonts w:ascii="Cambria" w:hAnsi="Cambria"/>
                      <w:bCs/>
                    </w:rPr>
                  </w:pPr>
                  <w:r w:rsidRPr="00FB02B7">
                    <w:rPr>
                      <w:rFonts w:ascii="Cambria" w:hAnsi="Cambria"/>
                      <w:bCs/>
                      <w:sz w:val="22"/>
                      <w:szCs w:val="22"/>
                    </w:rPr>
                    <w:t>10</w:t>
                  </w:r>
                </w:p>
              </w:tc>
              <w:tc>
                <w:tcPr>
                  <w:tcW w:w="868" w:type="dxa"/>
                  <w:shd w:val="clear" w:color="auto" w:fill="auto"/>
                  <w:noWrap/>
                  <w:vAlign w:val="bottom"/>
                  <w:hideMark/>
                </w:tcPr>
                <w:p w:rsidR="008F4D0A" w:rsidRPr="00FB02B7" w:rsidRDefault="008F4D0A" w:rsidP="007E6BF5">
                  <w:pPr>
                    <w:jc w:val="right"/>
                    <w:rPr>
                      <w:rFonts w:ascii="Cambria" w:hAnsi="Cambria"/>
                      <w:bCs/>
                    </w:rPr>
                  </w:pPr>
                  <w:r w:rsidRPr="00FB02B7">
                    <w:rPr>
                      <w:rFonts w:ascii="Cambria" w:hAnsi="Cambria"/>
                      <w:bCs/>
                      <w:sz w:val="22"/>
                      <w:szCs w:val="22"/>
                    </w:rPr>
                    <w:t>12</w:t>
                  </w:r>
                </w:p>
              </w:tc>
              <w:tc>
                <w:tcPr>
                  <w:tcW w:w="741" w:type="dxa"/>
                  <w:shd w:val="clear" w:color="auto" w:fill="auto"/>
                  <w:noWrap/>
                  <w:vAlign w:val="bottom"/>
                  <w:hideMark/>
                </w:tcPr>
                <w:p w:rsidR="008F4D0A" w:rsidRPr="00FB02B7" w:rsidRDefault="008F4D0A" w:rsidP="007E6BF5">
                  <w:pPr>
                    <w:jc w:val="right"/>
                    <w:rPr>
                      <w:rFonts w:ascii="Cambria" w:hAnsi="Cambria"/>
                      <w:bCs/>
                    </w:rPr>
                  </w:pPr>
                  <w:r w:rsidRPr="00FB02B7">
                    <w:rPr>
                      <w:rFonts w:ascii="Cambria" w:hAnsi="Cambria"/>
                      <w:bCs/>
                    </w:rPr>
                    <w:t>55</w:t>
                  </w:r>
                </w:p>
              </w:tc>
              <w:tc>
                <w:tcPr>
                  <w:tcW w:w="1057" w:type="dxa"/>
                  <w:shd w:val="clear" w:color="auto" w:fill="auto"/>
                  <w:noWrap/>
                  <w:vAlign w:val="bottom"/>
                  <w:hideMark/>
                </w:tcPr>
                <w:p w:rsidR="008F4D0A" w:rsidRPr="00FB02B7" w:rsidRDefault="008F4D0A" w:rsidP="007E6BF5">
                  <w:pPr>
                    <w:rPr>
                      <w:rFonts w:ascii="Cambria" w:hAnsi="Cambria"/>
                      <w:bCs/>
                    </w:rPr>
                  </w:pPr>
                  <w:r w:rsidRPr="00FB02B7">
                    <w:rPr>
                      <w:rFonts w:ascii="Cambria" w:hAnsi="Cambria"/>
                      <w:bCs/>
                      <w:sz w:val="22"/>
                      <w:szCs w:val="22"/>
                    </w:rPr>
                    <w:t> -</w:t>
                  </w:r>
                </w:p>
              </w:tc>
              <w:tc>
                <w:tcPr>
                  <w:tcW w:w="838" w:type="dxa"/>
                  <w:shd w:val="clear" w:color="auto" w:fill="auto"/>
                  <w:noWrap/>
                  <w:vAlign w:val="bottom"/>
                  <w:hideMark/>
                </w:tcPr>
                <w:p w:rsidR="008F4D0A" w:rsidRPr="00FB02B7" w:rsidRDefault="008F4D0A" w:rsidP="007E6BF5">
                  <w:pPr>
                    <w:rPr>
                      <w:rFonts w:ascii="Cambria" w:hAnsi="Cambria"/>
                      <w:bCs/>
                    </w:rPr>
                  </w:pPr>
                  <w:r w:rsidRPr="00FB02B7">
                    <w:rPr>
                      <w:rFonts w:ascii="Cambria" w:hAnsi="Cambria"/>
                      <w:bCs/>
                      <w:sz w:val="22"/>
                      <w:szCs w:val="22"/>
                    </w:rPr>
                    <w:t>- </w:t>
                  </w:r>
                </w:p>
              </w:tc>
              <w:tc>
                <w:tcPr>
                  <w:tcW w:w="588" w:type="dxa"/>
                  <w:shd w:val="clear" w:color="auto" w:fill="auto"/>
                  <w:noWrap/>
                  <w:vAlign w:val="bottom"/>
                  <w:hideMark/>
                </w:tcPr>
                <w:p w:rsidR="008F4D0A" w:rsidRPr="00FB02B7" w:rsidRDefault="008F4D0A" w:rsidP="007E6BF5">
                  <w:pPr>
                    <w:rPr>
                      <w:rFonts w:ascii="Cambria" w:hAnsi="Cambria"/>
                      <w:bCs/>
                    </w:rPr>
                  </w:pPr>
                  <w:r w:rsidRPr="00FB02B7">
                    <w:rPr>
                      <w:rFonts w:ascii="Cambria" w:hAnsi="Cambria"/>
                      <w:bCs/>
                      <w:sz w:val="22"/>
                      <w:szCs w:val="22"/>
                    </w:rPr>
                    <w:t>135</w:t>
                  </w:r>
                </w:p>
              </w:tc>
              <w:tc>
                <w:tcPr>
                  <w:tcW w:w="589" w:type="dxa"/>
                  <w:shd w:val="clear" w:color="auto" w:fill="auto"/>
                  <w:noWrap/>
                  <w:vAlign w:val="bottom"/>
                  <w:hideMark/>
                </w:tcPr>
                <w:p w:rsidR="008F4D0A" w:rsidRPr="00FB02B7" w:rsidRDefault="008F4D0A" w:rsidP="007E6BF5">
                  <w:pPr>
                    <w:jc w:val="right"/>
                    <w:rPr>
                      <w:rFonts w:ascii="Cambria" w:hAnsi="Cambria"/>
                      <w:bCs/>
                    </w:rPr>
                  </w:pPr>
                  <w:r w:rsidRPr="00FB02B7">
                    <w:rPr>
                      <w:rFonts w:ascii="Cambria" w:hAnsi="Cambria"/>
                      <w:bCs/>
                      <w:sz w:val="22"/>
                      <w:szCs w:val="22"/>
                    </w:rPr>
                    <w:t>5</w:t>
                  </w:r>
                </w:p>
              </w:tc>
            </w:tr>
          </w:tbl>
          <w:p w:rsidR="008F4D0A" w:rsidRPr="00FB02B7" w:rsidRDefault="008F4D0A" w:rsidP="007E6BF5">
            <w:pPr>
              <w:rPr>
                <w:rFonts w:ascii="Cambria" w:hAnsi="Cambria"/>
                <w:sz w:val="22"/>
                <w:szCs w:val="22"/>
              </w:rPr>
            </w:pPr>
          </w:p>
        </w:tc>
      </w:tr>
      <w:tr w:rsidR="008F4D0A" w:rsidRPr="00FB02B7" w:rsidTr="007E6BF5">
        <w:tc>
          <w:tcPr>
            <w:tcW w:w="2226" w:type="dxa"/>
          </w:tcPr>
          <w:p w:rsidR="008F4D0A" w:rsidRPr="00FB02B7" w:rsidRDefault="008F4D0A" w:rsidP="007E6BF5">
            <w:pPr>
              <w:rPr>
                <w:rFonts w:ascii="Cambria" w:hAnsi="Cambria"/>
                <w:sz w:val="22"/>
                <w:szCs w:val="22"/>
              </w:rPr>
            </w:pPr>
            <w:r w:rsidRPr="00FB02B7">
              <w:rPr>
                <w:rFonts w:ascii="Cambria" w:hAnsi="Cambria" w:cs="Calibri"/>
                <w:sz w:val="22"/>
                <w:szCs w:val="22"/>
              </w:rPr>
              <w:t>Roles of the Instructor</w:t>
            </w:r>
          </w:p>
        </w:tc>
        <w:tc>
          <w:tcPr>
            <w:tcW w:w="7350" w:type="dxa"/>
            <w:gridSpan w:val="2"/>
          </w:tcPr>
          <w:p w:rsidR="008F4D0A" w:rsidRPr="00FB02B7" w:rsidRDefault="008F4D0A" w:rsidP="007E6BF5">
            <w:pPr>
              <w:ind w:right="194"/>
              <w:jc w:val="both"/>
              <w:rPr>
                <w:rFonts w:ascii="Cambria" w:hAnsi="Cambria"/>
                <w:sz w:val="22"/>
                <w:szCs w:val="22"/>
              </w:rPr>
            </w:pPr>
            <w:r w:rsidRPr="00FB02B7">
              <w:rPr>
                <w:rFonts w:ascii="Cambria" w:hAnsi="Cambria" w:cs="Calibri"/>
                <w:sz w:val="22"/>
                <w:szCs w:val="22"/>
              </w:rPr>
              <w:t xml:space="preserve">He/she will come to the class regularly on time and deliver the lecture in a well-organized manner. Besides, at the end of each class he/she gives </w:t>
            </w:r>
            <w:r w:rsidRPr="00FB02B7">
              <w:rPr>
                <w:rFonts w:ascii="Cambria" w:hAnsi="Cambria" w:cs="Calibri"/>
                <w:sz w:val="22"/>
                <w:szCs w:val="22"/>
              </w:rPr>
              <w:lastRenderedPageBreak/>
              <w:t>reading assignment for the next class. He/she will make sure that proper assessments is given. He/she is also responsible to give feedback for each assessment.</w:t>
            </w:r>
          </w:p>
        </w:tc>
      </w:tr>
      <w:tr w:rsidR="008F4D0A" w:rsidRPr="00FB02B7" w:rsidTr="007E6BF5">
        <w:tc>
          <w:tcPr>
            <w:tcW w:w="2226" w:type="dxa"/>
          </w:tcPr>
          <w:p w:rsidR="008F4D0A" w:rsidRPr="00FB02B7" w:rsidRDefault="008F4D0A" w:rsidP="007E6BF5">
            <w:pPr>
              <w:rPr>
                <w:rFonts w:ascii="Cambria" w:hAnsi="Cambria"/>
                <w:sz w:val="22"/>
                <w:szCs w:val="22"/>
              </w:rPr>
            </w:pPr>
            <w:r w:rsidRPr="00FB02B7">
              <w:rPr>
                <w:rFonts w:ascii="Cambria" w:hAnsi="Cambria" w:cs="Calibri"/>
                <w:sz w:val="22"/>
                <w:szCs w:val="22"/>
              </w:rPr>
              <w:lastRenderedPageBreak/>
              <w:t>Roles of the students</w:t>
            </w:r>
          </w:p>
        </w:tc>
        <w:tc>
          <w:tcPr>
            <w:tcW w:w="7350" w:type="dxa"/>
            <w:gridSpan w:val="2"/>
          </w:tcPr>
          <w:p w:rsidR="008F4D0A" w:rsidRPr="00FB02B7" w:rsidRDefault="008F4D0A" w:rsidP="007E6BF5">
            <w:pPr>
              <w:jc w:val="both"/>
              <w:rPr>
                <w:rFonts w:ascii="Cambria" w:hAnsi="Cambria"/>
                <w:sz w:val="22"/>
                <w:szCs w:val="22"/>
              </w:rPr>
            </w:pPr>
            <w:r w:rsidRPr="00FB02B7">
              <w:rPr>
                <w:rFonts w:ascii="Cambria" w:hAnsi="Cambria" w:cs="Calibri"/>
                <w:sz w:val="22"/>
                <w:szCs w:val="22"/>
              </w:rPr>
              <w:t xml:space="preserve">The success of this course depends on the students’ individual and collective contribution to the class discussions. Students are expected to participate voluntarily, or will be called upon, to contribute to set exercises and problems. Students are also expected to read the assigned readings and prepare the cases before each class so that they could contribute effectively to class discussions. Students must attempt assignments by their own. </w:t>
            </w:r>
            <w:r w:rsidRPr="00FB02B7">
              <w:rPr>
                <w:rFonts w:ascii="Cambria" w:eastAsia="Calibri" w:hAnsi="Cambria" w:cs="Calibri"/>
                <w:sz w:val="22"/>
                <w:szCs w:val="22"/>
              </w:rPr>
              <w:t xml:space="preserve">Proficiency in this course comes from individual knowledge and understanding. </w:t>
            </w:r>
            <w:r w:rsidRPr="00FB02B7">
              <w:rPr>
                <w:rFonts w:ascii="Cambria" w:hAnsi="Cambria" w:cs="Calibri"/>
                <w:sz w:val="22"/>
                <w:szCs w:val="22"/>
              </w:rPr>
              <w:t>Copying the works of others is considered as serious offence and leads to disciplinary actions.</w:t>
            </w:r>
          </w:p>
        </w:tc>
      </w:tr>
      <w:tr w:rsidR="008F4D0A" w:rsidRPr="00FB02B7" w:rsidTr="007E6BF5">
        <w:tc>
          <w:tcPr>
            <w:tcW w:w="2226" w:type="dxa"/>
          </w:tcPr>
          <w:p w:rsidR="008F4D0A" w:rsidRPr="00FB02B7" w:rsidRDefault="008F4D0A" w:rsidP="007E6BF5">
            <w:pPr>
              <w:rPr>
                <w:rFonts w:ascii="Cambria" w:hAnsi="Cambria"/>
                <w:sz w:val="22"/>
                <w:szCs w:val="22"/>
              </w:rPr>
            </w:pPr>
            <w:r w:rsidRPr="00FB02B7">
              <w:rPr>
                <w:rFonts w:ascii="Cambria" w:hAnsi="Cambria" w:cs="Calibri"/>
                <w:sz w:val="22"/>
                <w:szCs w:val="22"/>
              </w:rPr>
              <w:t>Text and reference books</w:t>
            </w:r>
          </w:p>
        </w:tc>
        <w:tc>
          <w:tcPr>
            <w:tcW w:w="7350" w:type="dxa"/>
            <w:gridSpan w:val="2"/>
          </w:tcPr>
          <w:p w:rsidR="008F4D0A" w:rsidRPr="00FB02B7" w:rsidRDefault="008F4D0A" w:rsidP="007E6BF5">
            <w:pPr>
              <w:ind w:right="194"/>
              <w:jc w:val="both"/>
              <w:rPr>
                <w:rFonts w:ascii="Cambria" w:hAnsi="Cambria" w:cs="Calibri"/>
                <w:b/>
                <w:sz w:val="22"/>
                <w:szCs w:val="22"/>
              </w:rPr>
            </w:pPr>
            <w:r w:rsidRPr="00FB02B7">
              <w:rPr>
                <w:rFonts w:ascii="Cambria" w:hAnsi="Cambria" w:cs="Calibri"/>
                <w:b/>
                <w:sz w:val="22"/>
                <w:szCs w:val="22"/>
                <w:u w:val="single"/>
              </w:rPr>
              <w:t>Text Book</w:t>
            </w:r>
            <w:r w:rsidRPr="00FB02B7">
              <w:rPr>
                <w:rFonts w:ascii="Cambria" w:hAnsi="Cambria" w:cs="Calibri"/>
                <w:b/>
                <w:sz w:val="22"/>
                <w:szCs w:val="22"/>
              </w:rPr>
              <w:t xml:space="preserve">:  </w:t>
            </w:r>
            <w:proofErr w:type="spellStart"/>
            <w:r w:rsidRPr="00FB02B7">
              <w:rPr>
                <w:rFonts w:ascii="Cambria" w:hAnsi="Cambria" w:cs="Calibri"/>
                <w:b/>
                <w:sz w:val="22"/>
                <w:szCs w:val="22"/>
              </w:rPr>
              <w:t>Arens</w:t>
            </w:r>
            <w:proofErr w:type="spellEnd"/>
            <w:r w:rsidRPr="00FB02B7">
              <w:rPr>
                <w:rFonts w:ascii="Cambria" w:hAnsi="Cambria" w:cs="Calibri"/>
                <w:b/>
                <w:sz w:val="22"/>
                <w:szCs w:val="22"/>
              </w:rPr>
              <w:t xml:space="preserve"> and </w:t>
            </w:r>
            <w:proofErr w:type="spellStart"/>
            <w:r w:rsidRPr="00FB02B7">
              <w:rPr>
                <w:rFonts w:ascii="Cambria" w:hAnsi="Cambria" w:cs="Calibri"/>
                <w:b/>
                <w:sz w:val="22"/>
                <w:szCs w:val="22"/>
              </w:rPr>
              <w:t>Loebeck</w:t>
            </w:r>
            <w:proofErr w:type="spellEnd"/>
          </w:p>
          <w:p w:rsidR="008F4D0A" w:rsidRPr="00FB02B7" w:rsidRDefault="008F4D0A" w:rsidP="007E6BF5">
            <w:pPr>
              <w:pStyle w:val="ListParagraph"/>
              <w:ind w:left="185" w:right="194"/>
              <w:jc w:val="both"/>
              <w:rPr>
                <w:rFonts w:ascii="Cambria" w:hAnsi="Cambria" w:cs="Calibri"/>
                <w:sz w:val="22"/>
                <w:szCs w:val="22"/>
                <w:lang w:val="en-US" w:eastAsia="en-US"/>
              </w:rPr>
            </w:pPr>
          </w:p>
          <w:p w:rsidR="008F4D0A" w:rsidRPr="00FB02B7" w:rsidRDefault="008F4D0A" w:rsidP="007E6BF5">
            <w:pPr>
              <w:ind w:right="194"/>
              <w:jc w:val="both"/>
              <w:rPr>
                <w:rFonts w:ascii="Cambria" w:hAnsi="Cambria" w:cs="Calibri"/>
                <w:b/>
                <w:sz w:val="22"/>
                <w:szCs w:val="22"/>
                <w:u w:val="single"/>
              </w:rPr>
            </w:pPr>
            <w:r w:rsidRPr="00FB02B7">
              <w:rPr>
                <w:rFonts w:ascii="Cambria" w:hAnsi="Cambria" w:cs="Calibri"/>
                <w:b/>
                <w:sz w:val="22"/>
                <w:szCs w:val="22"/>
                <w:u w:val="single"/>
              </w:rPr>
              <w:t>Reference Books</w:t>
            </w:r>
          </w:p>
          <w:p w:rsidR="008F4D0A" w:rsidRPr="00FB02B7" w:rsidRDefault="008F4D0A" w:rsidP="007E6BF5">
            <w:pPr>
              <w:rPr>
                <w:rFonts w:ascii="Cambria" w:hAnsi="Cambria"/>
                <w:sz w:val="22"/>
                <w:szCs w:val="22"/>
              </w:rPr>
            </w:pPr>
          </w:p>
        </w:tc>
      </w:tr>
    </w:tbl>
    <w:p w:rsidR="001A569E" w:rsidRDefault="001A569E">
      <w:bookmarkStart w:id="0" w:name="_GoBack"/>
      <w:bookmarkEnd w:id="0"/>
    </w:p>
    <w:sectPr w:rsidR="001A5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2CCE"/>
    <w:multiLevelType w:val="multilevel"/>
    <w:tmpl w:val="10B408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3703B25"/>
    <w:multiLevelType w:val="hybridMultilevel"/>
    <w:tmpl w:val="9288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91F40"/>
    <w:multiLevelType w:val="multilevel"/>
    <w:tmpl w:val="AA7CF780"/>
    <w:lvl w:ilvl="0">
      <w:start w:val="1"/>
      <w:numFmt w:val="decimal"/>
      <w:lvlText w:val="%1."/>
      <w:lvlJc w:val="left"/>
      <w:pPr>
        <w:ind w:left="420" w:hanging="4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0A"/>
    <w:rsid w:val="001A569E"/>
    <w:rsid w:val="008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47551-398C-4DA1-821C-083BFCCC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4D0A"/>
    <w:pPr>
      <w:ind w:left="720"/>
      <w:contextualSpacing/>
    </w:pPr>
    <w:rPr>
      <w:lang w:val="x-none" w:eastAsia="x-none"/>
    </w:rPr>
  </w:style>
  <w:style w:type="character" w:customStyle="1" w:styleId="ListParagraphChar">
    <w:name w:val="List Paragraph Char"/>
    <w:link w:val="ListParagraph"/>
    <w:uiPriority w:val="34"/>
    <w:rsid w:val="008F4D0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Enyew Mulu</dc:creator>
  <cp:keywords/>
  <dc:description/>
  <cp:lastModifiedBy>Enyew Mulu</cp:lastModifiedBy>
  <cp:revision>1</cp:revision>
  <dcterms:created xsi:type="dcterms:W3CDTF">2020-04-23T11:53:00Z</dcterms:created>
  <dcterms:modified xsi:type="dcterms:W3CDTF">2020-04-23T11:53:00Z</dcterms:modified>
</cp:coreProperties>
</file>