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5907"/>
        <w:gridCol w:w="1443"/>
      </w:tblGrid>
      <w:tr w:rsidR="00833A34" w:rsidTr="00833A34">
        <w:tc>
          <w:tcPr>
            <w:tcW w:w="9576" w:type="dxa"/>
            <w:gridSpan w:val="3"/>
            <w:tcBorders>
              <w:top w:val="single" w:sz="4" w:space="0" w:color="auto"/>
              <w:left w:val="single" w:sz="4" w:space="0" w:color="auto"/>
              <w:bottom w:val="single" w:sz="4" w:space="0" w:color="auto"/>
              <w:right w:val="single" w:sz="4" w:space="0" w:color="auto"/>
            </w:tcBorders>
            <w:hideMark/>
          </w:tcPr>
          <w:p w:rsidR="00833A34" w:rsidRDefault="00833A34">
            <w:pPr>
              <w:ind w:right="194"/>
              <w:rPr>
                <w:rFonts w:ascii="Cambria" w:hAnsi="Cambria" w:cs="Calibri"/>
                <w:b/>
                <w:sz w:val="22"/>
                <w:szCs w:val="22"/>
              </w:rPr>
            </w:pPr>
            <w:r>
              <w:rPr>
                <w:rFonts w:ascii="Cambria" w:hAnsi="Cambria" w:cs="Calibri"/>
                <w:b/>
                <w:sz w:val="22"/>
                <w:szCs w:val="22"/>
              </w:rPr>
              <w:t xml:space="preserve">Name of University: </w:t>
            </w:r>
            <w:proofErr w:type="spellStart"/>
            <w:r w:rsidR="00931046">
              <w:rPr>
                <w:rFonts w:ascii="Cambria" w:hAnsi="Cambria" w:cs="Calibri"/>
                <w:b/>
                <w:sz w:val="22"/>
                <w:szCs w:val="22"/>
              </w:rPr>
              <w:t>Mekdela</w:t>
            </w:r>
            <w:proofErr w:type="spellEnd"/>
            <w:r w:rsidR="00931046">
              <w:rPr>
                <w:rFonts w:ascii="Cambria" w:hAnsi="Cambria" w:cs="Calibri"/>
                <w:b/>
                <w:sz w:val="22"/>
                <w:szCs w:val="22"/>
              </w:rPr>
              <w:t xml:space="preserve"> </w:t>
            </w:r>
            <w:proofErr w:type="spellStart"/>
            <w:r w:rsidR="00931046">
              <w:rPr>
                <w:rFonts w:ascii="Cambria" w:hAnsi="Cambria" w:cs="Calibri"/>
                <w:b/>
                <w:sz w:val="22"/>
                <w:szCs w:val="22"/>
              </w:rPr>
              <w:t>Amba</w:t>
            </w:r>
            <w:proofErr w:type="spellEnd"/>
            <w:r w:rsidR="00931046">
              <w:rPr>
                <w:rFonts w:ascii="Cambria" w:hAnsi="Cambria" w:cs="Calibri"/>
                <w:b/>
                <w:sz w:val="22"/>
                <w:szCs w:val="22"/>
              </w:rPr>
              <w:t xml:space="preserve"> University</w:t>
            </w:r>
          </w:p>
          <w:p w:rsidR="00833A34" w:rsidRDefault="00833A34">
            <w:pPr>
              <w:ind w:right="194"/>
              <w:rPr>
                <w:rFonts w:ascii="Cambria" w:hAnsi="Cambria" w:cs="Calibri"/>
                <w:b/>
                <w:sz w:val="22"/>
                <w:szCs w:val="22"/>
              </w:rPr>
            </w:pPr>
            <w:r>
              <w:rPr>
                <w:rFonts w:ascii="Cambria" w:hAnsi="Cambria" w:cs="Calibri"/>
                <w:b/>
                <w:sz w:val="22"/>
                <w:szCs w:val="22"/>
              </w:rPr>
              <w:t xml:space="preserve">Name of College/Faculty: </w:t>
            </w:r>
            <w:r w:rsidR="00931046">
              <w:rPr>
                <w:rFonts w:ascii="Cambria" w:hAnsi="Cambria" w:cs="Calibri"/>
                <w:b/>
                <w:sz w:val="22"/>
                <w:szCs w:val="22"/>
              </w:rPr>
              <w:t xml:space="preserve"> Business and </w:t>
            </w:r>
            <w:proofErr w:type="spellStart"/>
            <w:r w:rsidR="00931046">
              <w:rPr>
                <w:rFonts w:ascii="Cambria" w:hAnsi="Cambria" w:cs="Calibri"/>
                <w:b/>
                <w:sz w:val="22"/>
                <w:szCs w:val="22"/>
              </w:rPr>
              <w:t>Economis</w:t>
            </w:r>
            <w:proofErr w:type="spellEnd"/>
          </w:p>
          <w:p w:rsidR="00833A34" w:rsidRDefault="00833A34">
            <w:pPr>
              <w:rPr>
                <w:rFonts w:ascii="Cambria" w:hAnsi="Cambria"/>
                <w:sz w:val="22"/>
                <w:szCs w:val="22"/>
              </w:rPr>
            </w:pPr>
            <w:r>
              <w:rPr>
                <w:rFonts w:ascii="Cambria" w:hAnsi="Cambria" w:cs="Calibri"/>
                <w:b/>
                <w:sz w:val="22"/>
                <w:szCs w:val="22"/>
              </w:rPr>
              <w:t>Name of Department: Accounting and Finance Program</w:t>
            </w:r>
          </w:p>
        </w:tc>
      </w:tr>
      <w:tr w:rsidR="00833A34" w:rsidTr="00833A34">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33A34" w:rsidRDefault="00833A34">
            <w:pPr>
              <w:rPr>
                <w:rFonts w:ascii="Cambria" w:hAnsi="Cambria"/>
                <w:sz w:val="22"/>
                <w:szCs w:val="22"/>
              </w:rPr>
            </w:pPr>
            <w:r>
              <w:rPr>
                <w:rFonts w:ascii="Cambria" w:hAnsi="Cambria" w:cs="Calibri"/>
                <w:b/>
                <w:sz w:val="20"/>
                <w:szCs w:val="20"/>
              </w:rPr>
              <w:t>Course Information</w:t>
            </w:r>
          </w:p>
        </w:tc>
      </w:tr>
      <w:tr w:rsidR="00833A34" w:rsidTr="00833A34">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ind w:right="194"/>
              <w:jc w:val="both"/>
              <w:rPr>
                <w:rFonts w:ascii="Cambria" w:hAnsi="Cambria" w:cs="Calibri"/>
                <w:b/>
                <w:sz w:val="20"/>
                <w:szCs w:val="20"/>
              </w:rPr>
            </w:pPr>
            <w:r>
              <w:rPr>
                <w:rFonts w:ascii="Cambria" w:hAnsi="Cambria" w:cs="Calibri"/>
                <w:b/>
                <w:sz w:val="20"/>
                <w:szCs w:val="20"/>
              </w:rPr>
              <w:t>Course Number</w:t>
            </w:r>
          </w:p>
        </w:tc>
        <w:tc>
          <w:tcPr>
            <w:tcW w:w="7351" w:type="dxa"/>
            <w:gridSpan w:val="2"/>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proofErr w:type="spellStart"/>
            <w:r>
              <w:rPr>
                <w:rFonts w:ascii="Cambria" w:hAnsi="Cambria" w:cs="Calibri"/>
                <w:sz w:val="22"/>
                <w:szCs w:val="22"/>
              </w:rPr>
              <w:t>AcFn</w:t>
            </w:r>
            <w:proofErr w:type="spellEnd"/>
            <w:r>
              <w:rPr>
                <w:rFonts w:ascii="Cambria" w:hAnsi="Cambria" w:cs="Calibri"/>
                <w:sz w:val="22"/>
                <w:szCs w:val="22"/>
              </w:rPr>
              <w:t xml:space="preserve"> 2102</w:t>
            </w:r>
          </w:p>
        </w:tc>
      </w:tr>
      <w:tr w:rsidR="00833A34" w:rsidTr="00833A34">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ind w:right="194"/>
              <w:jc w:val="both"/>
              <w:rPr>
                <w:rFonts w:ascii="Cambria" w:hAnsi="Cambria" w:cs="Calibri"/>
                <w:b/>
                <w:sz w:val="20"/>
                <w:szCs w:val="20"/>
              </w:rPr>
            </w:pPr>
            <w:r>
              <w:rPr>
                <w:rFonts w:ascii="Cambria" w:hAnsi="Cambria" w:cs="Calibri"/>
                <w:b/>
                <w:sz w:val="20"/>
                <w:szCs w:val="20"/>
              </w:rPr>
              <w:t>Course Title</w:t>
            </w:r>
          </w:p>
        </w:tc>
        <w:tc>
          <w:tcPr>
            <w:tcW w:w="7351" w:type="dxa"/>
            <w:gridSpan w:val="2"/>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cs="Calibri"/>
                <w:sz w:val="22"/>
                <w:szCs w:val="22"/>
              </w:rPr>
              <w:t>Financial Management II</w:t>
            </w:r>
          </w:p>
        </w:tc>
      </w:tr>
      <w:tr w:rsidR="00833A34" w:rsidTr="00833A34">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ind w:right="194"/>
              <w:jc w:val="both"/>
              <w:rPr>
                <w:rFonts w:ascii="Cambria" w:hAnsi="Cambria" w:cs="Calibri"/>
                <w:b/>
                <w:sz w:val="20"/>
                <w:szCs w:val="20"/>
              </w:rPr>
            </w:pPr>
            <w:r>
              <w:rPr>
                <w:rFonts w:ascii="Cambria" w:hAnsi="Cambria" w:cs="Calibri"/>
                <w:b/>
                <w:sz w:val="20"/>
                <w:szCs w:val="20"/>
              </w:rPr>
              <w:t>Degree Program</w:t>
            </w:r>
          </w:p>
        </w:tc>
        <w:tc>
          <w:tcPr>
            <w:tcW w:w="7351" w:type="dxa"/>
            <w:gridSpan w:val="2"/>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sz w:val="22"/>
                <w:szCs w:val="22"/>
              </w:rPr>
              <w:t xml:space="preserve">BA Degree in Accounting and Finance </w:t>
            </w:r>
          </w:p>
        </w:tc>
      </w:tr>
      <w:tr w:rsidR="00833A34" w:rsidTr="00833A34">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ind w:right="194"/>
              <w:jc w:val="both"/>
              <w:rPr>
                <w:rFonts w:ascii="Cambria" w:hAnsi="Cambria" w:cs="Calibri"/>
                <w:b/>
                <w:sz w:val="20"/>
                <w:szCs w:val="20"/>
              </w:rPr>
            </w:pPr>
            <w:r>
              <w:rPr>
                <w:rFonts w:ascii="Cambria" w:hAnsi="Cambria" w:cs="Calibri"/>
                <w:b/>
                <w:sz w:val="20"/>
                <w:szCs w:val="20"/>
              </w:rPr>
              <w:t>Lecturer</w:t>
            </w:r>
          </w:p>
        </w:tc>
        <w:tc>
          <w:tcPr>
            <w:tcW w:w="7351" w:type="dxa"/>
            <w:gridSpan w:val="2"/>
            <w:tcBorders>
              <w:top w:val="single" w:sz="4" w:space="0" w:color="auto"/>
              <w:left w:val="single" w:sz="4" w:space="0" w:color="auto"/>
              <w:bottom w:val="single" w:sz="4" w:space="0" w:color="auto"/>
              <w:right w:val="single" w:sz="4" w:space="0" w:color="auto"/>
            </w:tcBorders>
          </w:tcPr>
          <w:p w:rsidR="00833A34" w:rsidRDefault="00931046">
            <w:pPr>
              <w:rPr>
                <w:rFonts w:ascii="Cambria" w:hAnsi="Cambria"/>
                <w:sz w:val="22"/>
                <w:szCs w:val="22"/>
              </w:rPr>
            </w:pPr>
            <w:proofErr w:type="spellStart"/>
            <w:r>
              <w:rPr>
                <w:rFonts w:ascii="Cambria" w:hAnsi="Cambria"/>
                <w:sz w:val="22"/>
                <w:szCs w:val="22"/>
              </w:rPr>
              <w:t>Dagmawi</w:t>
            </w:r>
            <w:proofErr w:type="spellEnd"/>
            <w:r>
              <w:rPr>
                <w:rFonts w:ascii="Cambria" w:hAnsi="Cambria"/>
                <w:sz w:val="22"/>
                <w:szCs w:val="22"/>
              </w:rPr>
              <w:t xml:space="preserve"> </w:t>
            </w:r>
            <w:proofErr w:type="spellStart"/>
            <w:r>
              <w:rPr>
                <w:rFonts w:ascii="Cambria" w:hAnsi="Cambria"/>
                <w:sz w:val="22"/>
                <w:szCs w:val="22"/>
              </w:rPr>
              <w:t>Kebebew</w:t>
            </w:r>
            <w:proofErr w:type="spellEnd"/>
          </w:p>
        </w:tc>
      </w:tr>
      <w:tr w:rsidR="00833A34" w:rsidTr="00833A34">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ind w:right="194"/>
              <w:jc w:val="both"/>
              <w:rPr>
                <w:rFonts w:ascii="Cambria" w:hAnsi="Cambria" w:cs="Calibri"/>
                <w:b/>
                <w:sz w:val="20"/>
                <w:szCs w:val="20"/>
              </w:rPr>
            </w:pPr>
            <w:r>
              <w:rPr>
                <w:rFonts w:ascii="Cambria" w:hAnsi="Cambria" w:cs="Calibri"/>
                <w:b/>
                <w:sz w:val="20"/>
                <w:szCs w:val="20"/>
              </w:rPr>
              <w:t>ETCTS Credits</w:t>
            </w:r>
          </w:p>
        </w:tc>
        <w:tc>
          <w:tcPr>
            <w:tcW w:w="7351" w:type="dxa"/>
            <w:gridSpan w:val="2"/>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sz w:val="22"/>
                <w:szCs w:val="22"/>
              </w:rPr>
              <w:t>5</w:t>
            </w:r>
          </w:p>
        </w:tc>
      </w:tr>
      <w:tr w:rsidR="00833A34" w:rsidTr="00833A34">
        <w:tc>
          <w:tcPr>
            <w:tcW w:w="2225" w:type="dxa"/>
            <w:tcBorders>
              <w:top w:val="single" w:sz="4" w:space="0" w:color="auto"/>
              <w:left w:val="single" w:sz="4" w:space="0" w:color="auto"/>
              <w:bottom w:val="single" w:sz="4" w:space="0" w:color="auto"/>
              <w:right w:val="single" w:sz="4" w:space="0" w:color="auto"/>
            </w:tcBorders>
            <w:hideMark/>
          </w:tcPr>
          <w:p w:rsidR="00833A34" w:rsidRDefault="00BF053D">
            <w:pPr>
              <w:ind w:right="194"/>
              <w:jc w:val="both"/>
              <w:rPr>
                <w:rFonts w:ascii="Cambria" w:hAnsi="Cambria" w:cs="Calibri"/>
                <w:b/>
                <w:sz w:val="20"/>
                <w:szCs w:val="20"/>
              </w:rPr>
            </w:pPr>
            <w:r>
              <w:rPr>
                <w:rFonts w:ascii="Cambria" w:hAnsi="Cambria" w:cs="Calibri"/>
                <w:b/>
                <w:sz w:val="20"/>
                <w:szCs w:val="20"/>
              </w:rPr>
              <w:t xml:space="preserve">Contact Hours </w:t>
            </w:r>
          </w:p>
        </w:tc>
        <w:tc>
          <w:tcPr>
            <w:tcW w:w="7351" w:type="dxa"/>
            <w:gridSpan w:val="2"/>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sz w:val="22"/>
                <w:szCs w:val="22"/>
              </w:rPr>
              <w:t>3</w:t>
            </w:r>
          </w:p>
        </w:tc>
      </w:tr>
      <w:tr w:rsidR="00833A34" w:rsidTr="00833A34">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cs="Calibri"/>
                <w:b/>
                <w:sz w:val="22"/>
                <w:szCs w:val="22"/>
              </w:rPr>
              <w:t>Course Objectives &amp; Competences to be Acquired</w:t>
            </w:r>
          </w:p>
        </w:tc>
        <w:tc>
          <w:tcPr>
            <w:tcW w:w="7351" w:type="dxa"/>
            <w:gridSpan w:val="2"/>
            <w:tcBorders>
              <w:top w:val="single" w:sz="4" w:space="0" w:color="auto"/>
              <w:left w:val="single" w:sz="4" w:space="0" w:color="auto"/>
              <w:bottom w:val="single" w:sz="4" w:space="0" w:color="auto"/>
              <w:right w:val="single" w:sz="4" w:space="0" w:color="auto"/>
            </w:tcBorders>
          </w:tcPr>
          <w:p w:rsidR="00833A34" w:rsidRDefault="00833A34">
            <w:pPr>
              <w:jc w:val="both"/>
              <w:rPr>
                <w:rFonts w:ascii="Cambria" w:hAnsi="Cambria"/>
                <w:sz w:val="22"/>
                <w:szCs w:val="22"/>
              </w:rPr>
            </w:pPr>
            <w:r>
              <w:rPr>
                <w:rFonts w:ascii="Cambria" w:hAnsi="Cambria"/>
                <w:sz w:val="22"/>
                <w:szCs w:val="22"/>
              </w:rPr>
              <w:t>The basic objective of this course is to familiarize students with the basics of investment, financing and dividend decisions that are the central thematic areas of finance profession.</w:t>
            </w:r>
          </w:p>
        </w:tc>
      </w:tr>
      <w:tr w:rsidR="00833A34" w:rsidTr="00833A34">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cs="Calibri"/>
                <w:b/>
                <w:sz w:val="22"/>
                <w:szCs w:val="22"/>
              </w:rPr>
              <w:t>Course Description</w:t>
            </w:r>
          </w:p>
        </w:tc>
        <w:tc>
          <w:tcPr>
            <w:tcW w:w="7351" w:type="dxa"/>
            <w:gridSpan w:val="2"/>
            <w:tcBorders>
              <w:top w:val="single" w:sz="4" w:space="0" w:color="auto"/>
              <w:left w:val="single" w:sz="4" w:space="0" w:color="auto"/>
              <w:bottom w:val="single" w:sz="4" w:space="0" w:color="auto"/>
              <w:right w:val="single" w:sz="4" w:space="0" w:color="auto"/>
            </w:tcBorders>
            <w:hideMark/>
          </w:tcPr>
          <w:p w:rsidR="00833A34" w:rsidRDefault="00833A34">
            <w:pPr>
              <w:jc w:val="both"/>
              <w:rPr>
                <w:rFonts w:ascii="Cambria" w:hAnsi="Cambria"/>
                <w:sz w:val="22"/>
                <w:szCs w:val="22"/>
              </w:rPr>
            </w:pPr>
            <w:r>
              <w:rPr>
                <w:rFonts w:ascii="Cambria" w:hAnsi="Cambria"/>
                <w:sz w:val="22"/>
                <w:szCs w:val="22"/>
              </w:rPr>
              <w:t>This course is a continuation of Financial Management I. It emphasizes on building and applying financial models, following the principle of financial management, for planning and decision making purposes.  It explains with the help of the language of financial accounting, how top management conducts systematic analysis, builds innovative plans, understands and manages risk, and creates more profit, cash and value for the organization.  Topics included are: Introduction to a modeling approach, financial accounting as the foundation for financial models, cash flow models for planning, the cost of capital, capital budgeting and strategy, and investment decisions and portfolio theory.</w:t>
            </w:r>
          </w:p>
        </w:tc>
      </w:tr>
      <w:tr w:rsidR="00833A34" w:rsidTr="00706D5D">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ind w:right="194"/>
              <w:jc w:val="both"/>
              <w:rPr>
                <w:rFonts w:ascii="Cambria" w:hAnsi="Cambria"/>
                <w:sz w:val="22"/>
                <w:szCs w:val="22"/>
              </w:rPr>
            </w:pPr>
            <w:r>
              <w:rPr>
                <w:rFonts w:ascii="Cambria" w:hAnsi="Cambria" w:cs="Calibri"/>
                <w:b/>
                <w:sz w:val="22"/>
                <w:szCs w:val="22"/>
              </w:rPr>
              <w:t>WEEKS</w:t>
            </w:r>
          </w:p>
        </w:tc>
        <w:tc>
          <w:tcPr>
            <w:tcW w:w="5830" w:type="dxa"/>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cs="Calibri"/>
                <w:b/>
                <w:sz w:val="22"/>
                <w:szCs w:val="22"/>
              </w:rPr>
              <w:t>Course Contents</w:t>
            </w:r>
          </w:p>
        </w:tc>
        <w:tc>
          <w:tcPr>
            <w:tcW w:w="1521" w:type="dxa"/>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cs="Calibri"/>
                <w:b/>
                <w:sz w:val="20"/>
                <w:szCs w:val="20"/>
              </w:rPr>
              <w:t>Reading</w:t>
            </w:r>
          </w:p>
        </w:tc>
      </w:tr>
      <w:tr w:rsidR="00833A34" w:rsidTr="00706D5D">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sz w:val="22"/>
                <w:szCs w:val="22"/>
              </w:rPr>
              <w:t>1,2, 3</w:t>
            </w:r>
          </w:p>
        </w:tc>
        <w:tc>
          <w:tcPr>
            <w:tcW w:w="5830" w:type="dxa"/>
            <w:tcBorders>
              <w:top w:val="single" w:sz="4" w:space="0" w:color="auto"/>
              <w:left w:val="single" w:sz="4" w:space="0" w:color="auto"/>
              <w:bottom w:val="single" w:sz="4" w:space="0" w:color="auto"/>
              <w:right w:val="single" w:sz="4" w:space="0" w:color="auto"/>
            </w:tcBorders>
            <w:hideMark/>
          </w:tcPr>
          <w:p w:rsidR="00833A34" w:rsidRDefault="00833A34" w:rsidP="000C0C33">
            <w:pPr>
              <w:pStyle w:val="Style"/>
              <w:numPr>
                <w:ilvl w:val="0"/>
                <w:numId w:val="1"/>
              </w:numPr>
              <w:ind w:right="4"/>
              <w:jc w:val="both"/>
              <w:rPr>
                <w:rFonts w:ascii="Cambria" w:hAnsi="Cambria"/>
                <w:b/>
              </w:rPr>
            </w:pPr>
            <w:r>
              <w:rPr>
                <w:rFonts w:ascii="Cambria" w:hAnsi="Cambria"/>
                <w:b/>
              </w:rPr>
              <w:t>Dividend Policy and theory</w:t>
            </w:r>
            <w:r>
              <w:rPr>
                <w:rFonts w:ascii="Cambria" w:hAnsi="Cambria"/>
                <w:b/>
              </w:rPr>
              <w:tab/>
            </w:r>
          </w:p>
          <w:p w:rsidR="00ED17E7" w:rsidRDefault="00ED17E7" w:rsidP="000C0C33">
            <w:pPr>
              <w:pStyle w:val="Style"/>
              <w:numPr>
                <w:ilvl w:val="1"/>
                <w:numId w:val="1"/>
              </w:numPr>
              <w:ind w:left="874" w:right="4" w:hanging="424"/>
              <w:jc w:val="both"/>
              <w:rPr>
                <w:rFonts w:ascii="Cambria" w:hAnsi="Cambria"/>
              </w:rPr>
            </w:pPr>
            <w:r>
              <w:rPr>
                <w:rFonts w:ascii="Cambria" w:hAnsi="Cambria"/>
              </w:rPr>
              <w:t>Basics of Dividend</w:t>
            </w:r>
          </w:p>
          <w:p w:rsidR="00745639" w:rsidRDefault="00ED17E7" w:rsidP="000C0C33">
            <w:pPr>
              <w:pStyle w:val="Style"/>
              <w:numPr>
                <w:ilvl w:val="1"/>
                <w:numId w:val="1"/>
              </w:numPr>
              <w:ind w:left="874" w:right="4" w:hanging="424"/>
              <w:jc w:val="both"/>
              <w:rPr>
                <w:rFonts w:ascii="Cambria" w:hAnsi="Cambria"/>
              </w:rPr>
            </w:pPr>
            <w:r>
              <w:rPr>
                <w:rFonts w:ascii="Cambria" w:hAnsi="Cambria"/>
              </w:rPr>
              <w:t xml:space="preserve">Forms of </w:t>
            </w:r>
            <w:r w:rsidR="00833A34">
              <w:rPr>
                <w:rFonts w:ascii="Cambria" w:hAnsi="Cambria"/>
              </w:rPr>
              <w:t>Dividends</w:t>
            </w:r>
          </w:p>
          <w:p w:rsidR="00745639" w:rsidRDefault="00745639" w:rsidP="000C0C33">
            <w:pPr>
              <w:pStyle w:val="Style"/>
              <w:numPr>
                <w:ilvl w:val="1"/>
                <w:numId w:val="1"/>
              </w:numPr>
              <w:ind w:left="874" w:right="4" w:hanging="424"/>
              <w:jc w:val="both"/>
              <w:rPr>
                <w:rFonts w:ascii="Cambria" w:hAnsi="Cambria"/>
              </w:rPr>
            </w:pPr>
            <w:r>
              <w:rPr>
                <w:rFonts w:ascii="Cambria" w:hAnsi="Cambria"/>
              </w:rPr>
              <w:t>Ex-dividend date and stock price</w:t>
            </w:r>
          </w:p>
          <w:p w:rsidR="00833A34" w:rsidRDefault="00745639" w:rsidP="000C0C33">
            <w:pPr>
              <w:pStyle w:val="Style"/>
              <w:numPr>
                <w:ilvl w:val="1"/>
                <w:numId w:val="1"/>
              </w:numPr>
              <w:ind w:left="874" w:right="4" w:hanging="424"/>
              <w:jc w:val="both"/>
              <w:rPr>
                <w:rFonts w:ascii="Cambria" w:hAnsi="Cambria"/>
              </w:rPr>
            </w:pPr>
            <w:r>
              <w:rPr>
                <w:rFonts w:ascii="Cambria" w:hAnsi="Cambria"/>
              </w:rPr>
              <w:t>Dividend Theories</w:t>
            </w:r>
            <w:r w:rsidR="00833A34">
              <w:rPr>
                <w:rFonts w:ascii="Cambria" w:hAnsi="Cambria"/>
              </w:rPr>
              <w:t xml:space="preserve"> </w:t>
            </w:r>
          </w:p>
          <w:p w:rsidR="00833A34" w:rsidRDefault="00833A34" w:rsidP="000C0C33">
            <w:pPr>
              <w:pStyle w:val="Style"/>
              <w:numPr>
                <w:ilvl w:val="1"/>
                <w:numId w:val="1"/>
              </w:numPr>
              <w:ind w:left="874" w:right="4" w:hanging="424"/>
              <w:jc w:val="both"/>
              <w:rPr>
                <w:rFonts w:ascii="Cambria" w:hAnsi="Cambria"/>
              </w:rPr>
            </w:pPr>
            <w:r>
              <w:rPr>
                <w:rFonts w:ascii="Cambria" w:hAnsi="Cambria"/>
              </w:rPr>
              <w:t xml:space="preserve">Establishing dividend policy </w:t>
            </w:r>
          </w:p>
          <w:p w:rsidR="00833A34" w:rsidRDefault="00833A34" w:rsidP="000C0C33">
            <w:pPr>
              <w:pStyle w:val="Style"/>
              <w:numPr>
                <w:ilvl w:val="2"/>
                <w:numId w:val="1"/>
              </w:numPr>
              <w:ind w:right="4"/>
              <w:jc w:val="both"/>
              <w:rPr>
                <w:rFonts w:ascii="Cambria" w:hAnsi="Cambria"/>
              </w:rPr>
            </w:pPr>
            <w:r>
              <w:rPr>
                <w:rFonts w:ascii="Cambria" w:hAnsi="Cambria"/>
              </w:rPr>
              <w:t xml:space="preserve">Residual Dividend approach </w:t>
            </w:r>
          </w:p>
          <w:p w:rsidR="00833A34" w:rsidRDefault="00833A34" w:rsidP="000C0C33">
            <w:pPr>
              <w:pStyle w:val="Style"/>
              <w:numPr>
                <w:ilvl w:val="2"/>
                <w:numId w:val="1"/>
              </w:numPr>
              <w:ind w:right="4"/>
              <w:jc w:val="both"/>
              <w:rPr>
                <w:rFonts w:ascii="Cambria" w:hAnsi="Cambria"/>
              </w:rPr>
            </w:pPr>
            <w:r>
              <w:rPr>
                <w:rFonts w:ascii="Cambria" w:hAnsi="Cambria"/>
              </w:rPr>
              <w:t xml:space="preserve">Dividend stability </w:t>
            </w:r>
          </w:p>
          <w:p w:rsidR="00833A34" w:rsidRDefault="00833A34" w:rsidP="000C0C33">
            <w:pPr>
              <w:pStyle w:val="Style"/>
              <w:numPr>
                <w:ilvl w:val="2"/>
                <w:numId w:val="1"/>
              </w:numPr>
              <w:ind w:right="4"/>
              <w:jc w:val="both"/>
              <w:rPr>
                <w:rFonts w:ascii="Cambria" w:hAnsi="Cambria"/>
              </w:rPr>
            </w:pPr>
            <w:r>
              <w:rPr>
                <w:rFonts w:ascii="Cambria" w:hAnsi="Cambria"/>
              </w:rPr>
              <w:t xml:space="preserve">A Compromise  </w:t>
            </w:r>
          </w:p>
          <w:p w:rsidR="00F82EB5" w:rsidRPr="006135A0" w:rsidRDefault="00F82EB5" w:rsidP="00F82EB5">
            <w:pPr>
              <w:pStyle w:val="Style"/>
              <w:numPr>
                <w:ilvl w:val="1"/>
                <w:numId w:val="1"/>
              </w:numPr>
              <w:ind w:left="874" w:right="4" w:hanging="424"/>
              <w:jc w:val="both"/>
              <w:rPr>
                <w:rFonts w:ascii="Cambria" w:hAnsi="Cambria"/>
              </w:rPr>
            </w:pPr>
            <w:r>
              <w:rPr>
                <w:rFonts w:ascii="Cambria" w:hAnsi="Cambria"/>
              </w:rPr>
              <w:t xml:space="preserve">Factors influencing dividend payments </w:t>
            </w:r>
          </w:p>
        </w:tc>
        <w:tc>
          <w:tcPr>
            <w:tcW w:w="1521" w:type="dxa"/>
            <w:tcBorders>
              <w:top w:val="single" w:sz="4" w:space="0" w:color="auto"/>
              <w:left w:val="single" w:sz="4" w:space="0" w:color="auto"/>
              <w:bottom w:val="single" w:sz="4" w:space="0" w:color="auto"/>
              <w:right w:val="single" w:sz="4" w:space="0" w:color="auto"/>
            </w:tcBorders>
          </w:tcPr>
          <w:p w:rsidR="00833A34" w:rsidRDefault="00833A34">
            <w:pPr>
              <w:rPr>
                <w:rFonts w:ascii="Cambria" w:hAnsi="Cambria"/>
                <w:sz w:val="22"/>
                <w:szCs w:val="22"/>
              </w:rPr>
            </w:pPr>
          </w:p>
        </w:tc>
      </w:tr>
      <w:tr w:rsidR="00833A34" w:rsidTr="00706D5D">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sz w:val="22"/>
                <w:szCs w:val="22"/>
              </w:rPr>
              <w:t>3,4,5,6</w:t>
            </w:r>
          </w:p>
        </w:tc>
        <w:tc>
          <w:tcPr>
            <w:tcW w:w="5830" w:type="dxa"/>
            <w:tcBorders>
              <w:top w:val="single" w:sz="4" w:space="0" w:color="auto"/>
              <w:left w:val="single" w:sz="4" w:space="0" w:color="auto"/>
              <w:bottom w:val="single" w:sz="4" w:space="0" w:color="auto"/>
              <w:right w:val="single" w:sz="4" w:space="0" w:color="auto"/>
            </w:tcBorders>
            <w:hideMark/>
          </w:tcPr>
          <w:p w:rsidR="00833A34" w:rsidRDefault="003529D3" w:rsidP="000C0C33">
            <w:pPr>
              <w:pStyle w:val="Style"/>
              <w:numPr>
                <w:ilvl w:val="0"/>
                <w:numId w:val="1"/>
              </w:numPr>
              <w:ind w:right="4"/>
              <w:jc w:val="both"/>
              <w:rPr>
                <w:rFonts w:ascii="Cambria" w:hAnsi="Cambria"/>
                <w:b/>
              </w:rPr>
            </w:pPr>
            <w:r>
              <w:rPr>
                <w:rFonts w:ascii="Cambria" w:hAnsi="Cambria"/>
                <w:b/>
              </w:rPr>
              <w:t>Principles of Working C</w:t>
            </w:r>
            <w:r w:rsidR="00833A34">
              <w:rPr>
                <w:rFonts w:ascii="Cambria" w:hAnsi="Cambria"/>
                <w:b/>
              </w:rPr>
              <w:t xml:space="preserve">apital management </w:t>
            </w:r>
          </w:p>
          <w:p w:rsidR="00833A34" w:rsidRDefault="00833A34" w:rsidP="000C0C33">
            <w:pPr>
              <w:pStyle w:val="Style"/>
              <w:numPr>
                <w:ilvl w:val="1"/>
                <w:numId w:val="1"/>
              </w:numPr>
              <w:ind w:left="874" w:hanging="424"/>
              <w:jc w:val="both"/>
              <w:rPr>
                <w:rFonts w:ascii="Cambria" w:hAnsi="Cambria"/>
                <w:lang w:bidi="he-IL"/>
              </w:rPr>
            </w:pPr>
            <w:r>
              <w:rPr>
                <w:rFonts w:ascii="Cambria" w:hAnsi="Cambria"/>
                <w:lang w:bidi="he-IL"/>
              </w:rPr>
              <w:t xml:space="preserve">The concept of working capital </w:t>
            </w:r>
          </w:p>
          <w:p w:rsidR="00833A34" w:rsidRDefault="00833A34" w:rsidP="000C0C33">
            <w:pPr>
              <w:pStyle w:val="Style"/>
              <w:numPr>
                <w:ilvl w:val="1"/>
                <w:numId w:val="1"/>
              </w:numPr>
              <w:ind w:left="874" w:hanging="424"/>
              <w:jc w:val="both"/>
              <w:rPr>
                <w:rFonts w:ascii="Cambria" w:hAnsi="Cambria"/>
                <w:lang w:bidi="he-IL"/>
              </w:rPr>
            </w:pPr>
            <w:r>
              <w:rPr>
                <w:rFonts w:ascii="Cambria" w:hAnsi="Cambria"/>
                <w:lang w:bidi="he-IL"/>
              </w:rPr>
              <w:t>Operating and cash conversion cycle</w:t>
            </w:r>
          </w:p>
          <w:p w:rsidR="00833A34" w:rsidRDefault="00833A34" w:rsidP="000C0C33">
            <w:pPr>
              <w:pStyle w:val="Style"/>
              <w:numPr>
                <w:ilvl w:val="1"/>
                <w:numId w:val="1"/>
              </w:numPr>
              <w:ind w:left="874" w:hanging="424"/>
              <w:jc w:val="both"/>
              <w:rPr>
                <w:rFonts w:ascii="Cambria" w:hAnsi="Cambria"/>
                <w:lang w:bidi="he-IL"/>
              </w:rPr>
            </w:pPr>
            <w:r>
              <w:rPr>
                <w:rFonts w:ascii="Cambria" w:hAnsi="Cambria"/>
                <w:lang w:bidi="he-IL"/>
              </w:rPr>
              <w:t>Permanent and Variable Working Capital</w:t>
            </w:r>
          </w:p>
          <w:p w:rsidR="00833A34" w:rsidRDefault="00833A34" w:rsidP="000C0C33">
            <w:pPr>
              <w:pStyle w:val="Style"/>
              <w:numPr>
                <w:ilvl w:val="1"/>
                <w:numId w:val="1"/>
              </w:numPr>
              <w:ind w:left="874" w:hanging="424"/>
              <w:jc w:val="both"/>
              <w:rPr>
                <w:rFonts w:ascii="Cambria" w:hAnsi="Cambria"/>
              </w:rPr>
            </w:pPr>
            <w:r>
              <w:rPr>
                <w:rFonts w:ascii="Cambria" w:hAnsi="Cambria"/>
                <w:lang w:bidi="he-IL"/>
              </w:rPr>
              <w:t>Determinants of working capital management</w:t>
            </w:r>
          </w:p>
          <w:p w:rsidR="00833A34" w:rsidRDefault="00833A34" w:rsidP="000C0C33">
            <w:pPr>
              <w:pStyle w:val="Style"/>
              <w:numPr>
                <w:ilvl w:val="1"/>
                <w:numId w:val="1"/>
              </w:numPr>
              <w:ind w:left="874" w:hanging="424"/>
              <w:jc w:val="both"/>
              <w:rPr>
                <w:rFonts w:ascii="Cambria" w:hAnsi="Cambria"/>
              </w:rPr>
            </w:pPr>
            <w:r>
              <w:rPr>
                <w:rFonts w:ascii="Cambria" w:hAnsi="Cambria"/>
                <w:lang w:bidi="he-IL"/>
              </w:rPr>
              <w:t>Financing Current Assets</w:t>
            </w:r>
          </w:p>
        </w:tc>
        <w:tc>
          <w:tcPr>
            <w:tcW w:w="1521" w:type="dxa"/>
            <w:tcBorders>
              <w:top w:val="single" w:sz="4" w:space="0" w:color="auto"/>
              <w:left w:val="single" w:sz="4" w:space="0" w:color="auto"/>
              <w:bottom w:val="single" w:sz="4" w:space="0" w:color="auto"/>
              <w:right w:val="single" w:sz="4" w:space="0" w:color="auto"/>
            </w:tcBorders>
          </w:tcPr>
          <w:p w:rsidR="00833A34" w:rsidRDefault="00833A34">
            <w:pPr>
              <w:rPr>
                <w:rFonts w:ascii="Cambria" w:hAnsi="Cambria"/>
                <w:sz w:val="22"/>
                <w:szCs w:val="22"/>
              </w:rPr>
            </w:pPr>
          </w:p>
        </w:tc>
      </w:tr>
      <w:tr w:rsidR="00833A34" w:rsidTr="00706D5D">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sz w:val="22"/>
                <w:szCs w:val="22"/>
              </w:rPr>
              <w:t>7,8,9</w:t>
            </w:r>
          </w:p>
        </w:tc>
        <w:tc>
          <w:tcPr>
            <w:tcW w:w="5830" w:type="dxa"/>
            <w:tcBorders>
              <w:top w:val="single" w:sz="4" w:space="0" w:color="auto"/>
              <w:left w:val="single" w:sz="4" w:space="0" w:color="auto"/>
              <w:bottom w:val="single" w:sz="4" w:space="0" w:color="auto"/>
              <w:right w:val="single" w:sz="4" w:space="0" w:color="auto"/>
            </w:tcBorders>
            <w:hideMark/>
          </w:tcPr>
          <w:p w:rsidR="00833A34" w:rsidRDefault="00833A34" w:rsidP="000C0C33">
            <w:pPr>
              <w:pStyle w:val="Style"/>
              <w:numPr>
                <w:ilvl w:val="0"/>
                <w:numId w:val="1"/>
              </w:numPr>
              <w:ind w:right="4"/>
              <w:jc w:val="both"/>
              <w:rPr>
                <w:rFonts w:ascii="Cambria" w:hAnsi="Cambria"/>
                <w:b/>
              </w:rPr>
            </w:pPr>
            <w:r>
              <w:rPr>
                <w:rFonts w:ascii="Cambria" w:hAnsi="Cambria"/>
                <w:b/>
              </w:rPr>
              <w:t xml:space="preserve">Cash and Liquidity Management </w:t>
            </w:r>
          </w:p>
          <w:p w:rsidR="00833A34" w:rsidRDefault="00833A34" w:rsidP="000C0C33">
            <w:pPr>
              <w:pStyle w:val="ListParagraph"/>
              <w:numPr>
                <w:ilvl w:val="1"/>
                <w:numId w:val="1"/>
              </w:numPr>
              <w:ind w:left="874" w:hanging="424"/>
              <w:rPr>
                <w:rFonts w:ascii="Cambria" w:hAnsi="Cambria"/>
                <w:sz w:val="22"/>
                <w:szCs w:val="22"/>
              </w:rPr>
            </w:pPr>
            <w:r>
              <w:rPr>
                <w:rFonts w:ascii="Cambria" w:hAnsi="Cambria"/>
                <w:sz w:val="22"/>
                <w:szCs w:val="22"/>
              </w:rPr>
              <w:t>Reasons for Holding Cash</w:t>
            </w:r>
          </w:p>
          <w:p w:rsidR="00833A34" w:rsidRDefault="00833A34" w:rsidP="000C0C33">
            <w:pPr>
              <w:pStyle w:val="ListParagraph"/>
              <w:numPr>
                <w:ilvl w:val="1"/>
                <w:numId w:val="1"/>
              </w:numPr>
              <w:ind w:left="874" w:hanging="424"/>
              <w:rPr>
                <w:rFonts w:ascii="Cambria" w:hAnsi="Cambria"/>
                <w:sz w:val="22"/>
                <w:szCs w:val="22"/>
              </w:rPr>
            </w:pPr>
            <w:r>
              <w:rPr>
                <w:rFonts w:ascii="Cambria" w:hAnsi="Cambria"/>
                <w:sz w:val="22"/>
                <w:szCs w:val="22"/>
              </w:rPr>
              <w:t>Understanding Float</w:t>
            </w:r>
          </w:p>
          <w:p w:rsidR="00833A34" w:rsidRDefault="00833A34" w:rsidP="000C0C33">
            <w:pPr>
              <w:pStyle w:val="ListParagraph"/>
              <w:numPr>
                <w:ilvl w:val="1"/>
                <w:numId w:val="1"/>
              </w:numPr>
              <w:ind w:left="874" w:hanging="424"/>
              <w:rPr>
                <w:rFonts w:ascii="Cambria" w:hAnsi="Cambria"/>
                <w:sz w:val="22"/>
                <w:szCs w:val="22"/>
              </w:rPr>
            </w:pPr>
            <w:r>
              <w:rPr>
                <w:rFonts w:ascii="Cambria" w:hAnsi="Cambria"/>
                <w:sz w:val="22"/>
                <w:szCs w:val="22"/>
              </w:rPr>
              <w:t>Cash Collection and Concentration</w:t>
            </w:r>
          </w:p>
          <w:p w:rsidR="00833A34" w:rsidRDefault="00833A34" w:rsidP="000C0C33">
            <w:pPr>
              <w:pStyle w:val="ListParagraph"/>
              <w:numPr>
                <w:ilvl w:val="1"/>
                <w:numId w:val="1"/>
              </w:numPr>
              <w:ind w:left="874" w:hanging="424"/>
              <w:rPr>
                <w:rFonts w:ascii="Cambria" w:hAnsi="Cambria"/>
                <w:sz w:val="22"/>
                <w:szCs w:val="22"/>
              </w:rPr>
            </w:pPr>
            <w:r>
              <w:rPr>
                <w:rFonts w:ascii="Cambria" w:hAnsi="Cambria"/>
                <w:sz w:val="22"/>
                <w:szCs w:val="22"/>
              </w:rPr>
              <w:t>Managing Cash Disbursement</w:t>
            </w:r>
          </w:p>
          <w:p w:rsidR="00833A34" w:rsidRDefault="00833A34" w:rsidP="000C0C33">
            <w:pPr>
              <w:pStyle w:val="ListParagraph"/>
              <w:numPr>
                <w:ilvl w:val="1"/>
                <w:numId w:val="1"/>
              </w:numPr>
              <w:ind w:left="874" w:hanging="424"/>
              <w:rPr>
                <w:rFonts w:ascii="Cambria" w:hAnsi="Cambria"/>
                <w:sz w:val="22"/>
                <w:szCs w:val="22"/>
              </w:rPr>
            </w:pPr>
            <w:r>
              <w:rPr>
                <w:rFonts w:ascii="Cambria" w:hAnsi="Cambria"/>
                <w:sz w:val="22"/>
                <w:szCs w:val="22"/>
              </w:rPr>
              <w:t>Investing Ideal Cash</w:t>
            </w:r>
          </w:p>
          <w:p w:rsidR="00833A34" w:rsidRDefault="00833A34" w:rsidP="000C0C33">
            <w:pPr>
              <w:pStyle w:val="ListParagraph"/>
              <w:numPr>
                <w:ilvl w:val="1"/>
                <w:numId w:val="1"/>
              </w:numPr>
              <w:ind w:left="874" w:hanging="424"/>
              <w:rPr>
                <w:rFonts w:ascii="Cambria" w:hAnsi="Cambria"/>
                <w:sz w:val="22"/>
                <w:szCs w:val="22"/>
              </w:rPr>
            </w:pPr>
            <w:r>
              <w:rPr>
                <w:rFonts w:ascii="Cambria" w:hAnsi="Cambria"/>
                <w:sz w:val="22"/>
                <w:szCs w:val="22"/>
              </w:rPr>
              <w:t>Determining  the target cash balance</w:t>
            </w:r>
          </w:p>
        </w:tc>
        <w:tc>
          <w:tcPr>
            <w:tcW w:w="1521" w:type="dxa"/>
            <w:tcBorders>
              <w:top w:val="single" w:sz="4" w:space="0" w:color="auto"/>
              <w:left w:val="single" w:sz="4" w:space="0" w:color="auto"/>
              <w:bottom w:val="single" w:sz="4" w:space="0" w:color="auto"/>
              <w:right w:val="single" w:sz="4" w:space="0" w:color="auto"/>
            </w:tcBorders>
          </w:tcPr>
          <w:p w:rsidR="00833A34" w:rsidRDefault="00833A34">
            <w:pPr>
              <w:rPr>
                <w:rFonts w:ascii="Cambria" w:hAnsi="Cambria"/>
                <w:sz w:val="22"/>
                <w:szCs w:val="22"/>
              </w:rPr>
            </w:pPr>
          </w:p>
        </w:tc>
      </w:tr>
      <w:tr w:rsidR="00833A34" w:rsidTr="00706D5D">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sz w:val="22"/>
                <w:szCs w:val="22"/>
              </w:rPr>
              <w:t>10,11,12</w:t>
            </w:r>
          </w:p>
        </w:tc>
        <w:tc>
          <w:tcPr>
            <w:tcW w:w="5830" w:type="dxa"/>
            <w:tcBorders>
              <w:top w:val="single" w:sz="4" w:space="0" w:color="auto"/>
              <w:left w:val="single" w:sz="4" w:space="0" w:color="auto"/>
              <w:bottom w:val="single" w:sz="4" w:space="0" w:color="auto"/>
              <w:right w:val="single" w:sz="4" w:space="0" w:color="auto"/>
            </w:tcBorders>
            <w:hideMark/>
          </w:tcPr>
          <w:p w:rsidR="00833A34" w:rsidRDefault="00833A34" w:rsidP="000C0C33">
            <w:pPr>
              <w:pStyle w:val="Style"/>
              <w:numPr>
                <w:ilvl w:val="0"/>
                <w:numId w:val="1"/>
              </w:numPr>
              <w:ind w:right="4"/>
              <w:jc w:val="both"/>
              <w:rPr>
                <w:rFonts w:ascii="Cambria" w:hAnsi="Cambria"/>
                <w:b/>
                <w:bCs/>
              </w:rPr>
            </w:pPr>
            <w:r>
              <w:rPr>
                <w:rFonts w:ascii="Cambria" w:hAnsi="Cambria"/>
                <w:b/>
                <w:bCs/>
              </w:rPr>
              <w:t xml:space="preserve">Receivable Management </w:t>
            </w:r>
          </w:p>
          <w:p w:rsidR="00833A34" w:rsidRDefault="00833A34" w:rsidP="000C0C33">
            <w:pPr>
              <w:pStyle w:val="Style"/>
              <w:numPr>
                <w:ilvl w:val="1"/>
                <w:numId w:val="1"/>
              </w:numPr>
              <w:ind w:left="864" w:hanging="418"/>
              <w:jc w:val="both"/>
              <w:rPr>
                <w:rFonts w:ascii="Cambria" w:hAnsi="Cambria"/>
                <w:bCs/>
              </w:rPr>
            </w:pPr>
            <w:r>
              <w:rPr>
                <w:rFonts w:ascii="Cambria" w:hAnsi="Cambria"/>
                <w:bCs/>
              </w:rPr>
              <w:lastRenderedPageBreak/>
              <w:t>Credit and receivables</w:t>
            </w:r>
          </w:p>
          <w:p w:rsidR="00833A34" w:rsidRDefault="00833A34" w:rsidP="000C0C33">
            <w:pPr>
              <w:pStyle w:val="Style"/>
              <w:numPr>
                <w:ilvl w:val="1"/>
                <w:numId w:val="1"/>
              </w:numPr>
              <w:ind w:left="864" w:hanging="418"/>
              <w:jc w:val="both"/>
              <w:rPr>
                <w:rFonts w:ascii="Cambria" w:hAnsi="Cambria"/>
                <w:bCs/>
              </w:rPr>
            </w:pPr>
            <w:r>
              <w:rPr>
                <w:rFonts w:ascii="Cambria" w:hAnsi="Cambria"/>
                <w:bCs/>
              </w:rPr>
              <w:t>Terms of sale</w:t>
            </w:r>
          </w:p>
          <w:p w:rsidR="00833A34" w:rsidRDefault="00833A34" w:rsidP="000C0C33">
            <w:pPr>
              <w:pStyle w:val="Style"/>
              <w:numPr>
                <w:ilvl w:val="1"/>
                <w:numId w:val="1"/>
              </w:numPr>
              <w:ind w:left="864" w:hanging="418"/>
              <w:jc w:val="both"/>
              <w:rPr>
                <w:rFonts w:ascii="Cambria" w:hAnsi="Cambria"/>
                <w:bCs/>
              </w:rPr>
            </w:pPr>
            <w:r>
              <w:rPr>
                <w:rFonts w:ascii="Cambria" w:hAnsi="Cambria"/>
                <w:bCs/>
              </w:rPr>
              <w:t>Analyzing credit policy</w:t>
            </w:r>
          </w:p>
          <w:p w:rsidR="00833A34" w:rsidRDefault="00833A34" w:rsidP="000C0C33">
            <w:pPr>
              <w:pStyle w:val="Style"/>
              <w:numPr>
                <w:ilvl w:val="1"/>
                <w:numId w:val="1"/>
              </w:numPr>
              <w:ind w:left="864" w:hanging="418"/>
              <w:jc w:val="both"/>
              <w:rPr>
                <w:rFonts w:ascii="Cambria" w:hAnsi="Cambria"/>
                <w:bCs/>
              </w:rPr>
            </w:pPr>
            <w:r>
              <w:rPr>
                <w:rFonts w:ascii="Cambria" w:hAnsi="Cambria"/>
                <w:bCs/>
              </w:rPr>
              <w:t>Credit Analysis</w:t>
            </w:r>
          </w:p>
          <w:p w:rsidR="00833A34" w:rsidRDefault="00833A34" w:rsidP="000C0C33">
            <w:pPr>
              <w:pStyle w:val="Style"/>
              <w:numPr>
                <w:ilvl w:val="1"/>
                <w:numId w:val="1"/>
              </w:numPr>
              <w:ind w:left="864" w:hanging="418"/>
              <w:jc w:val="both"/>
              <w:rPr>
                <w:rFonts w:ascii="Cambria" w:hAnsi="Cambria"/>
              </w:rPr>
            </w:pPr>
            <w:r>
              <w:rPr>
                <w:rFonts w:ascii="Cambria" w:hAnsi="Cambria"/>
                <w:bCs/>
              </w:rPr>
              <w:t>Collection policy</w:t>
            </w:r>
          </w:p>
        </w:tc>
        <w:tc>
          <w:tcPr>
            <w:tcW w:w="1521" w:type="dxa"/>
            <w:tcBorders>
              <w:top w:val="single" w:sz="4" w:space="0" w:color="auto"/>
              <w:left w:val="single" w:sz="4" w:space="0" w:color="auto"/>
              <w:bottom w:val="single" w:sz="4" w:space="0" w:color="auto"/>
              <w:right w:val="single" w:sz="4" w:space="0" w:color="auto"/>
            </w:tcBorders>
          </w:tcPr>
          <w:p w:rsidR="00833A34" w:rsidRDefault="00833A34">
            <w:pPr>
              <w:rPr>
                <w:rFonts w:ascii="Cambria" w:hAnsi="Cambria"/>
                <w:sz w:val="22"/>
                <w:szCs w:val="22"/>
              </w:rPr>
            </w:pPr>
          </w:p>
        </w:tc>
      </w:tr>
      <w:tr w:rsidR="00833A34" w:rsidTr="00706D5D">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sz w:val="22"/>
                <w:szCs w:val="22"/>
              </w:rPr>
              <w:lastRenderedPageBreak/>
              <w:t>13,14,15</w:t>
            </w:r>
          </w:p>
        </w:tc>
        <w:tc>
          <w:tcPr>
            <w:tcW w:w="5830" w:type="dxa"/>
            <w:tcBorders>
              <w:top w:val="single" w:sz="4" w:space="0" w:color="auto"/>
              <w:left w:val="single" w:sz="4" w:space="0" w:color="auto"/>
              <w:bottom w:val="single" w:sz="4" w:space="0" w:color="auto"/>
              <w:right w:val="single" w:sz="4" w:space="0" w:color="auto"/>
            </w:tcBorders>
            <w:hideMark/>
          </w:tcPr>
          <w:p w:rsidR="00833A34" w:rsidRDefault="00833A34" w:rsidP="000C0C33">
            <w:pPr>
              <w:pStyle w:val="Style"/>
              <w:numPr>
                <w:ilvl w:val="0"/>
                <w:numId w:val="1"/>
              </w:numPr>
              <w:ind w:right="4"/>
              <w:jc w:val="both"/>
              <w:rPr>
                <w:rFonts w:ascii="Cambria" w:hAnsi="Cambria"/>
                <w:b/>
                <w:bCs/>
              </w:rPr>
            </w:pPr>
            <w:r>
              <w:rPr>
                <w:rFonts w:ascii="Cambria" w:hAnsi="Cambria"/>
                <w:b/>
                <w:bCs/>
              </w:rPr>
              <w:t>Inventory Management</w:t>
            </w:r>
          </w:p>
          <w:p w:rsidR="00833A34" w:rsidRDefault="00833A34" w:rsidP="000C0C33">
            <w:pPr>
              <w:pStyle w:val="ListParagraph"/>
              <w:numPr>
                <w:ilvl w:val="1"/>
                <w:numId w:val="1"/>
              </w:numPr>
              <w:ind w:left="874" w:hanging="424"/>
              <w:rPr>
                <w:rFonts w:ascii="Cambria" w:hAnsi="Cambria"/>
                <w:sz w:val="22"/>
                <w:szCs w:val="22"/>
              </w:rPr>
            </w:pPr>
            <w:r>
              <w:rPr>
                <w:rFonts w:ascii="Cambria" w:hAnsi="Cambria"/>
                <w:sz w:val="22"/>
                <w:szCs w:val="22"/>
              </w:rPr>
              <w:t>Introduction</w:t>
            </w:r>
          </w:p>
          <w:p w:rsidR="00833A34" w:rsidRDefault="00833A34" w:rsidP="000C0C33">
            <w:pPr>
              <w:pStyle w:val="ListParagraph"/>
              <w:numPr>
                <w:ilvl w:val="1"/>
                <w:numId w:val="1"/>
              </w:numPr>
              <w:ind w:left="874" w:hanging="424"/>
              <w:rPr>
                <w:rFonts w:ascii="Cambria" w:hAnsi="Cambria"/>
                <w:sz w:val="22"/>
                <w:szCs w:val="22"/>
              </w:rPr>
            </w:pPr>
            <w:r>
              <w:rPr>
                <w:rFonts w:ascii="Cambria" w:hAnsi="Cambria"/>
                <w:sz w:val="22"/>
                <w:szCs w:val="22"/>
              </w:rPr>
              <w:t>Meaning &amp; Nature of inventory</w:t>
            </w:r>
          </w:p>
          <w:p w:rsidR="00833A34" w:rsidRDefault="00833A34" w:rsidP="000C0C33">
            <w:pPr>
              <w:pStyle w:val="ListParagraph"/>
              <w:numPr>
                <w:ilvl w:val="1"/>
                <w:numId w:val="1"/>
              </w:numPr>
              <w:ind w:left="874" w:hanging="424"/>
              <w:rPr>
                <w:rFonts w:ascii="Cambria" w:hAnsi="Cambria"/>
                <w:sz w:val="22"/>
                <w:szCs w:val="22"/>
              </w:rPr>
            </w:pPr>
            <w:r>
              <w:rPr>
                <w:rFonts w:ascii="Cambria" w:hAnsi="Cambria"/>
                <w:sz w:val="22"/>
                <w:szCs w:val="22"/>
              </w:rPr>
              <w:t>Benefits &amp; costs of Holding Inventory</w:t>
            </w:r>
          </w:p>
          <w:p w:rsidR="00833A34" w:rsidRDefault="00833A34" w:rsidP="000C0C33">
            <w:pPr>
              <w:pStyle w:val="ListParagraph"/>
              <w:numPr>
                <w:ilvl w:val="1"/>
                <w:numId w:val="1"/>
              </w:numPr>
              <w:ind w:left="874" w:hanging="424"/>
              <w:rPr>
                <w:rFonts w:ascii="Cambria" w:hAnsi="Cambria"/>
                <w:sz w:val="22"/>
                <w:szCs w:val="22"/>
              </w:rPr>
            </w:pPr>
            <w:r>
              <w:rPr>
                <w:rFonts w:ascii="Cambria" w:hAnsi="Cambria"/>
                <w:sz w:val="22"/>
                <w:szCs w:val="22"/>
              </w:rPr>
              <w:t>Inventory management techniques</w:t>
            </w:r>
          </w:p>
        </w:tc>
        <w:tc>
          <w:tcPr>
            <w:tcW w:w="1521" w:type="dxa"/>
            <w:tcBorders>
              <w:top w:val="single" w:sz="4" w:space="0" w:color="auto"/>
              <w:left w:val="single" w:sz="4" w:space="0" w:color="auto"/>
              <w:bottom w:val="single" w:sz="4" w:space="0" w:color="auto"/>
              <w:right w:val="single" w:sz="4" w:space="0" w:color="auto"/>
            </w:tcBorders>
          </w:tcPr>
          <w:p w:rsidR="00833A34" w:rsidRDefault="00833A34">
            <w:pPr>
              <w:rPr>
                <w:rFonts w:ascii="Cambria" w:hAnsi="Cambria"/>
                <w:sz w:val="22"/>
                <w:szCs w:val="22"/>
              </w:rPr>
            </w:pPr>
          </w:p>
        </w:tc>
      </w:tr>
      <w:tr w:rsidR="00833A34" w:rsidTr="00833A34">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cs="Calibri"/>
                <w:sz w:val="22"/>
                <w:szCs w:val="22"/>
              </w:rPr>
              <w:t>Teaching &amp; Learning Methods/strategy</w:t>
            </w:r>
          </w:p>
        </w:tc>
        <w:tc>
          <w:tcPr>
            <w:tcW w:w="7351" w:type="dxa"/>
            <w:gridSpan w:val="2"/>
            <w:tcBorders>
              <w:top w:val="single" w:sz="4" w:space="0" w:color="auto"/>
              <w:left w:val="single" w:sz="4" w:space="0" w:color="auto"/>
              <w:bottom w:val="single" w:sz="4" w:space="0" w:color="auto"/>
              <w:right w:val="single" w:sz="4" w:space="0" w:color="auto"/>
            </w:tcBorders>
            <w:hideMark/>
          </w:tcPr>
          <w:p w:rsidR="00833A34" w:rsidRDefault="00833A34">
            <w:pPr>
              <w:jc w:val="both"/>
              <w:rPr>
                <w:rFonts w:ascii="Cambria" w:hAnsi="Cambria"/>
                <w:sz w:val="22"/>
                <w:szCs w:val="22"/>
              </w:rPr>
            </w:pPr>
            <w:r>
              <w:rPr>
                <w:rFonts w:ascii="Cambria" w:hAnsi="Cambria"/>
                <w:sz w:val="22"/>
                <w:szCs w:val="22"/>
              </w:rPr>
              <w:t>The teaching and learning methodology include lecturing, discussions, problem solving, and analysis. Take-home assignment will be given at the end of each chapter for submission within a week. Solution to the assignments will be given once assignments are collected. Cases with local relevance will also be given for each chapter for group of students to present in a class room.</w:t>
            </w:r>
            <w:r w:rsidR="00E7642D">
              <w:rPr>
                <w:rFonts w:ascii="Cambria" w:hAnsi="Cambria"/>
                <w:sz w:val="22"/>
                <w:szCs w:val="22"/>
              </w:rPr>
              <w:t xml:space="preserve"> </w:t>
            </w:r>
            <w:r>
              <w:rPr>
                <w:rFonts w:ascii="Cambria" w:hAnsi="Cambria"/>
                <w:sz w:val="22"/>
                <w:szCs w:val="22"/>
              </w:rPr>
              <w:t xml:space="preserve">The full and active participation of students is highly encouraged.  </w:t>
            </w:r>
          </w:p>
        </w:tc>
      </w:tr>
      <w:tr w:rsidR="00833A34" w:rsidTr="00833A34">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ind w:right="194"/>
              <w:jc w:val="both"/>
              <w:rPr>
                <w:rFonts w:ascii="Cambria" w:hAnsi="Cambria"/>
                <w:sz w:val="22"/>
                <w:szCs w:val="22"/>
              </w:rPr>
            </w:pPr>
            <w:r>
              <w:rPr>
                <w:rFonts w:ascii="Cambria" w:hAnsi="Cambria" w:cs="Calibri"/>
                <w:sz w:val="22"/>
                <w:szCs w:val="22"/>
              </w:rPr>
              <w:t xml:space="preserve">Assessment/Evaluation </w:t>
            </w:r>
          </w:p>
        </w:tc>
        <w:tc>
          <w:tcPr>
            <w:tcW w:w="7351" w:type="dxa"/>
            <w:gridSpan w:val="2"/>
            <w:tcBorders>
              <w:top w:val="single" w:sz="4" w:space="0" w:color="auto"/>
              <w:left w:val="single" w:sz="4" w:space="0" w:color="auto"/>
              <w:bottom w:val="single" w:sz="4" w:space="0" w:color="auto"/>
              <w:right w:val="single" w:sz="4" w:space="0" w:color="auto"/>
            </w:tcBorders>
          </w:tcPr>
          <w:p w:rsidR="00833A34" w:rsidRDefault="00833A34">
            <w:pPr>
              <w:ind w:right="194"/>
              <w:jc w:val="both"/>
              <w:rPr>
                <w:rFonts w:ascii="Cambria" w:hAnsi="Cambria" w:cs="Calibri"/>
                <w:sz w:val="22"/>
                <w:szCs w:val="22"/>
              </w:rPr>
            </w:pPr>
            <w:r>
              <w:rPr>
                <w:rFonts w:ascii="Cambria" w:hAnsi="Cambria" w:cs="Calibri"/>
                <w:sz w:val="22"/>
                <w:szCs w:val="22"/>
              </w:rPr>
              <w:t xml:space="preserve">The evaluation scheme will be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861"/>
              <w:gridCol w:w="1031"/>
              <w:gridCol w:w="964"/>
              <w:gridCol w:w="886"/>
              <w:gridCol w:w="1003"/>
            </w:tblGrid>
            <w:tr w:rsidR="000A0072" w:rsidTr="000A0072">
              <w:trPr>
                <w:trHeight w:val="74"/>
              </w:trPr>
              <w:tc>
                <w:tcPr>
                  <w:tcW w:w="861" w:type="dxa"/>
                  <w:tcBorders>
                    <w:top w:val="single" w:sz="4" w:space="0" w:color="auto"/>
                    <w:left w:val="single" w:sz="4" w:space="0" w:color="auto"/>
                    <w:bottom w:val="single" w:sz="4" w:space="0" w:color="auto"/>
                    <w:right w:val="single" w:sz="4" w:space="0" w:color="auto"/>
                  </w:tcBorders>
                  <w:hideMark/>
                </w:tcPr>
                <w:p w:rsidR="000A0072" w:rsidRDefault="000A0072">
                  <w:pPr>
                    <w:ind w:right="194"/>
                    <w:jc w:val="both"/>
                    <w:rPr>
                      <w:rFonts w:ascii="Cambria" w:hAnsi="Cambria" w:cs="Calibri"/>
                    </w:rPr>
                  </w:pPr>
                  <w:r>
                    <w:rPr>
                      <w:rFonts w:ascii="Cambria" w:hAnsi="Cambria" w:cs="Calibri"/>
                      <w:sz w:val="22"/>
                      <w:szCs w:val="22"/>
                    </w:rPr>
                    <w:t>Test 1</w:t>
                  </w:r>
                </w:p>
              </w:tc>
              <w:tc>
                <w:tcPr>
                  <w:tcW w:w="861" w:type="dxa"/>
                  <w:tcBorders>
                    <w:top w:val="single" w:sz="4" w:space="0" w:color="auto"/>
                    <w:left w:val="single" w:sz="4" w:space="0" w:color="auto"/>
                    <w:bottom w:val="single" w:sz="4" w:space="0" w:color="auto"/>
                    <w:right w:val="single" w:sz="4" w:space="0" w:color="auto"/>
                  </w:tcBorders>
                  <w:hideMark/>
                </w:tcPr>
                <w:p w:rsidR="000A0072" w:rsidRDefault="000A0072">
                  <w:pPr>
                    <w:ind w:right="194"/>
                    <w:jc w:val="both"/>
                    <w:rPr>
                      <w:rFonts w:ascii="Cambria" w:hAnsi="Cambria" w:cs="Calibri"/>
                    </w:rPr>
                  </w:pPr>
                  <w:r>
                    <w:rPr>
                      <w:rFonts w:ascii="Cambria" w:hAnsi="Cambria" w:cs="Calibri"/>
                      <w:sz w:val="22"/>
                      <w:szCs w:val="22"/>
                    </w:rPr>
                    <w:t>Test 2</w:t>
                  </w:r>
                </w:p>
              </w:tc>
              <w:tc>
                <w:tcPr>
                  <w:tcW w:w="1031" w:type="dxa"/>
                  <w:tcBorders>
                    <w:top w:val="single" w:sz="4" w:space="0" w:color="auto"/>
                    <w:left w:val="single" w:sz="4" w:space="0" w:color="auto"/>
                    <w:bottom w:val="single" w:sz="4" w:space="0" w:color="auto"/>
                    <w:right w:val="single" w:sz="4" w:space="0" w:color="auto"/>
                  </w:tcBorders>
                  <w:hideMark/>
                </w:tcPr>
                <w:p w:rsidR="000A0072" w:rsidRDefault="000A0072">
                  <w:pPr>
                    <w:ind w:right="194"/>
                    <w:jc w:val="both"/>
                    <w:rPr>
                      <w:rFonts w:ascii="Cambria" w:hAnsi="Cambria" w:cs="Calibri"/>
                    </w:rPr>
                  </w:pPr>
                  <w:r>
                    <w:rPr>
                      <w:rFonts w:ascii="Cambria" w:hAnsi="Cambria" w:cs="Calibri"/>
                      <w:sz w:val="22"/>
                      <w:szCs w:val="22"/>
                    </w:rPr>
                    <w:t>Assign 3</w:t>
                  </w:r>
                </w:p>
              </w:tc>
              <w:tc>
                <w:tcPr>
                  <w:tcW w:w="964" w:type="dxa"/>
                  <w:tcBorders>
                    <w:top w:val="single" w:sz="4" w:space="0" w:color="auto"/>
                    <w:left w:val="single" w:sz="4" w:space="0" w:color="auto"/>
                    <w:bottom w:val="single" w:sz="4" w:space="0" w:color="auto"/>
                    <w:right w:val="single" w:sz="4" w:space="0" w:color="auto"/>
                  </w:tcBorders>
                  <w:hideMark/>
                </w:tcPr>
                <w:p w:rsidR="000A0072" w:rsidRDefault="000A0072">
                  <w:pPr>
                    <w:ind w:right="194"/>
                    <w:jc w:val="both"/>
                    <w:rPr>
                      <w:rFonts w:ascii="Cambria" w:hAnsi="Cambria" w:cs="Calibri"/>
                    </w:rPr>
                  </w:pPr>
                  <w:r>
                    <w:rPr>
                      <w:rFonts w:ascii="Cambria" w:hAnsi="Cambria" w:cs="Calibri"/>
                      <w:sz w:val="22"/>
                      <w:szCs w:val="22"/>
                    </w:rPr>
                    <w:t>Quiz1</w:t>
                  </w:r>
                </w:p>
              </w:tc>
              <w:tc>
                <w:tcPr>
                  <w:tcW w:w="886" w:type="dxa"/>
                  <w:tcBorders>
                    <w:top w:val="single" w:sz="4" w:space="0" w:color="auto"/>
                    <w:left w:val="single" w:sz="4" w:space="0" w:color="auto"/>
                    <w:bottom w:val="single" w:sz="4" w:space="0" w:color="auto"/>
                    <w:right w:val="single" w:sz="4" w:space="0" w:color="auto"/>
                  </w:tcBorders>
                  <w:hideMark/>
                </w:tcPr>
                <w:p w:rsidR="000A0072" w:rsidRDefault="000A0072">
                  <w:pPr>
                    <w:ind w:right="194"/>
                    <w:jc w:val="both"/>
                    <w:rPr>
                      <w:rFonts w:ascii="Cambria" w:hAnsi="Cambria" w:cs="Calibri"/>
                    </w:rPr>
                  </w:pPr>
                  <w:r>
                    <w:rPr>
                      <w:rFonts w:ascii="Cambria" w:hAnsi="Cambria" w:cs="Calibri"/>
                      <w:sz w:val="22"/>
                      <w:szCs w:val="22"/>
                    </w:rPr>
                    <w:t xml:space="preserve">Final </w:t>
                  </w:r>
                </w:p>
              </w:tc>
              <w:tc>
                <w:tcPr>
                  <w:tcW w:w="1003" w:type="dxa"/>
                  <w:tcBorders>
                    <w:top w:val="single" w:sz="4" w:space="0" w:color="auto"/>
                    <w:left w:val="single" w:sz="4" w:space="0" w:color="auto"/>
                    <w:bottom w:val="single" w:sz="4" w:space="0" w:color="auto"/>
                    <w:right w:val="single" w:sz="4" w:space="0" w:color="auto"/>
                  </w:tcBorders>
                  <w:hideMark/>
                </w:tcPr>
                <w:p w:rsidR="000A0072" w:rsidRDefault="000A0072">
                  <w:pPr>
                    <w:ind w:right="194"/>
                    <w:jc w:val="both"/>
                    <w:rPr>
                      <w:rFonts w:ascii="Cambria" w:hAnsi="Cambria" w:cs="Calibri"/>
                    </w:rPr>
                  </w:pPr>
                  <w:r>
                    <w:rPr>
                      <w:rFonts w:ascii="Cambria" w:hAnsi="Cambria" w:cs="Calibri"/>
                      <w:sz w:val="22"/>
                      <w:szCs w:val="22"/>
                    </w:rPr>
                    <w:t xml:space="preserve">Total </w:t>
                  </w:r>
                </w:p>
              </w:tc>
            </w:tr>
            <w:tr w:rsidR="000A0072" w:rsidTr="000A0072">
              <w:trPr>
                <w:trHeight w:val="74"/>
              </w:trPr>
              <w:tc>
                <w:tcPr>
                  <w:tcW w:w="861" w:type="dxa"/>
                  <w:tcBorders>
                    <w:top w:val="single" w:sz="4" w:space="0" w:color="auto"/>
                    <w:left w:val="single" w:sz="4" w:space="0" w:color="auto"/>
                    <w:bottom w:val="single" w:sz="4" w:space="0" w:color="auto"/>
                    <w:right w:val="single" w:sz="4" w:space="0" w:color="auto"/>
                  </w:tcBorders>
                  <w:hideMark/>
                </w:tcPr>
                <w:p w:rsidR="000A0072" w:rsidRDefault="000A0072">
                  <w:pPr>
                    <w:ind w:right="194"/>
                    <w:jc w:val="both"/>
                    <w:rPr>
                      <w:rFonts w:ascii="Cambria" w:hAnsi="Cambria" w:cs="Calibri"/>
                    </w:rPr>
                  </w:pPr>
                  <w:r>
                    <w:rPr>
                      <w:rFonts w:ascii="Cambria" w:hAnsi="Cambria" w:cs="Calibri"/>
                      <w:sz w:val="22"/>
                      <w:szCs w:val="22"/>
                    </w:rPr>
                    <w:t>15%</w:t>
                  </w:r>
                </w:p>
              </w:tc>
              <w:tc>
                <w:tcPr>
                  <w:tcW w:w="861" w:type="dxa"/>
                  <w:tcBorders>
                    <w:top w:val="single" w:sz="4" w:space="0" w:color="auto"/>
                    <w:left w:val="single" w:sz="4" w:space="0" w:color="auto"/>
                    <w:bottom w:val="single" w:sz="4" w:space="0" w:color="auto"/>
                    <w:right w:val="single" w:sz="4" w:space="0" w:color="auto"/>
                  </w:tcBorders>
                  <w:hideMark/>
                </w:tcPr>
                <w:p w:rsidR="000A0072" w:rsidRDefault="000A0072">
                  <w:pPr>
                    <w:ind w:right="194"/>
                    <w:jc w:val="both"/>
                    <w:rPr>
                      <w:rFonts w:ascii="Cambria" w:hAnsi="Cambria" w:cs="Calibri"/>
                    </w:rPr>
                  </w:pPr>
                  <w:r>
                    <w:rPr>
                      <w:rFonts w:ascii="Cambria" w:hAnsi="Cambria" w:cs="Calibri"/>
                      <w:sz w:val="22"/>
                      <w:szCs w:val="22"/>
                    </w:rPr>
                    <w:t>15%</w:t>
                  </w:r>
                </w:p>
              </w:tc>
              <w:tc>
                <w:tcPr>
                  <w:tcW w:w="1031" w:type="dxa"/>
                  <w:tcBorders>
                    <w:top w:val="single" w:sz="4" w:space="0" w:color="auto"/>
                    <w:left w:val="single" w:sz="4" w:space="0" w:color="auto"/>
                    <w:bottom w:val="single" w:sz="4" w:space="0" w:color="auto"/>
                    <w:right w:val="single" w:sz="4" w:space="0" w:color="auto"/>
                  </w:tcBorders>
                  <w:hideMark/>
                </w:tcPr>
                <w:p w:rsidR="000A0072" w:rsidRDefault="000A0072">
                  <w:pPr>
                    <w:ind w:right="194"/>
                    <w:jc w:val="both"/>
                    <w:rPr>
                      <w:rFonts w:ascii="Cambria" w:hAnsi="Cambria" w:cs="Calibri"/>
                    </w:rPr>
                  </w:pPr>
                  <w:r>
                    <w:rPr>
                      <w:rFonts w:ascii="Cambria" w:hAnsi="Cambria" w:cs="Calibri"/>
                      <w:sz w:val="22"/>
                      <w:szCs w:val="22"/>
                    </w:rPr>
                    <w:t>15%</w:t>
                  </w:r>
                </w:p>
              </w:tc>
              <w:tc>
                <w:tcPr>
                  <w:tcW w:w="964" w:type="dxa"/>
                  <w:tcBorders>
                    <w:top w:val="single" w:sz="4" w:space="0" w:color="auto"/>
                    <w:left w:val="single" w:sz="4" w:space="0" w:color="auto"/>
                    <w:bottom w:val="single" w:sz="4" w:space="0" w:color="auto"/>
                    <w:right w:val="single" w:sz="4" w:space="0" w:color="auto"/>
                  </w:tcBorders>
                  <w:hideMark/>
                </w:tcPr>
                <w:p w:rsidR="000A0072" w:rsidRDefault="000A0072">
                  <w:pPr>
                    <w:ind w:right="194"/>
                    <w:jc w:val="both"/>
                    <w:rPr>
                      <w:rFonts w:ascii="Cambria" w:hAnsi="Cambria" w:cs="Calibri"/>
                    </w:rPr>
                  </w:pPr>
                  <w:r>
                    <w:rPr>
                      <w:rFonts w:ascii="Cambria" w:hAnsi="Cambria" w:cs="Calibri"/>
                      <w:sz w:val="22"/>
                      <w:szCs w:val="22"/>
                    </w:rPr>
                    <w:t>5%</w:t>
                  </w:r>
                </w:p>
              </w:tc>
              <w:tc>
                <w:tcPr>
                  <w:tcW w:w="886" w:type="dxa"/>
                  <w:tcBorders>
                    <w:top w:val="single" w:sz="4" w:space="0" w:color="auto"/>
                    <w:left w:val="single" w:sz="4" w:space="0" w:color="auto"/>
                    <w:bottom w:val="single" w:sz="4" w:space="0" w:color="auto"/>
                    <w:right w:val="single" w:sz="4" w:space="0" w:color="auto"/>
                  </w:tcBorders>
                  <w:hideMark/>
                </w:tcPr>
                <w:p w:rsidR="000A0072" w:rsidRDefault="000A0072">
                  <w:pPr>
                    <w:ind w:right="194"/>
                    <w:jc w:val="both"/>
                    <w:rPr>
                      <w:rFonts w:ascii="Cambria" w:hAnsi="Cambria" w:cs="Calibri"/>
                    </w:rPr>
                  </w:pPr>
                  <w:r>
                    <w:rPr>
                      <w:rFonts w:ascii="Cambria" w:hAnsi="Cambria" w:cs="Calibri"/>
                      <w:sz w:val="22"/>
                      <w:szCs w:val="22"/>
                    </w:rPr>
                    <w:t>50%</w:t>
                  </w:r>
                </w:p>
              </w:tc>
              <w:tc>
                <w:tcPr>
                  <w:tcW w:w="1003" w:type="dxa"/>
                  <w:tcBorders>
                    <w:top w:val="single" w:sz="4" w:space="0" w:color="auto"/>
                    <w:left w:val="single" w:sz="4" w:space="0" w:color="auto"/>
                    <w:bottom w:val="single" w:sz="4" w:space="0" w:color="auto"/>
                    <w:right w:val="single" w:sz="4" w:space="0" w:color="auto"/>
                  </w:tcBorders>
                  <w:hideMark/>
                </w:tcPr>
                <w:p w:rsidR="000A0072" w:rsidRDefault="000A0072">
                  <w:pPr>
                    <w:ind w:right="194"/>
                    <w:jc w:val="both"/>
                    <w:rPr>
                      <w:rFonts w:ascii="Cambria" w:hAnsi="Cambria" w:cs="Calibri"/>
                    </w:rPr>
                  </w:pPr>
                  <w:r>
                    <w:rPr>
                      <w:rFonts w:ascii="Cambria" w:hAnsi="Cambria" w:cs="Calibri"/>
                      <w:sz w:val="22"/>
                      <w:szCs w:val="22"/>
                    </w:rPr>
                    <w:t>100%</w:t>
                  </w:r>
                </w:p>
              </w:tc>
            </w:tr>
            <w:tr w:rsidR="000A0072" w:rsidTr="000A0072">
              <w:trPr>
                <w:trHeight w:val="74"/>
              </w:trPr>
              <w:tc>
                <w:tcPr>
                  <w:tcW w:w="861" w:type="dxa"/>
                  <w:tcBorders>
                    <w:top w:val="single" w:sz="4" w:space="0" w:color="auto"/>
                    <w:left w:val="single" w:sz="4" w:space="0" w:color="auto"/>
                    <w:bottom w:val="single" w:sz="4" w:space="0" w:color="auto"/>
                    <w:right w:val="single" w:sz="4" w:space="0" w:color="auto"/>
                  </w:tcBorders>
                </w:tcPr>
                <w:p w:rsidR="000A0072" w:rsidRDefault="000A0072">
                  <w:pPr>
                    <w:ind w:right="194"/>
                    <w:jc w:val="both"/>
                    <w:rPr>
                      <w:rFonts w:ascii="Cambria" w:hAnsi="Cambria" w:cs="Calibri"/>
                    </w:rPr>
                  </w:pPr>
                </w:p>
              </w:tc>
              <w:tc>
                <w:tcPr>
                  <w:tcW w:w="861" w:type="dxa"/>
                  <w:tcBorders>
                    <w:top w:val="single" w:sz="4" w:space="0" w:color="auto"/>
                    <w:left w:val="single" w:sz="4" w:space="0" w:color="auto"/>
                    <w:bottom w:val="single" w:sz="4" w:space="0" w:color="auto"/>
                    <w:right w:val="single" w:sz="4" w:space="0" w:color="auto"/>
                  </w:tcBorders>
                </w:tcPr>
                <w:p w:rsidR="000A0072" w:rsidRDefault="000A0072">
                  <w:pPr>
                    <w:ind w:right="194"/>
                    <w:jc w:val="both"/>
                    <w:rPr>
                      <w:rFonts w:ascii="Cambria" w:hAnsi="Cambria" w:cs="Calibri"/>
                    </w:rPr>
                  </w:pPr>
                </w:p>
              </w:tc>
              <w:tc>
                <w:tcPr>
                  <w:tcW w:w="1031" w:type="dxa"/>
                  <w:tcBorders>
                    <w:top w:val="single" w:sz="4" w:space="0" w:color="auto"/>
                    <w:left w:val="single" w:sz="4" w:space="0" w:color="auto"/>
                    <w:bottom w:val="single" w:sz="4" w:space="0" w:color="auto"/>
                    <w:right w:val="single" w:sz="4" w:space="0" w:color="auto"/>
                  </w:tcBorders>
                </w:tcPr>
                <w:p w:rsidR="000A0072" w:rsidRDefault="000A0072">
                  <w:pPr>
                    <w:ind w:right="194"/>
                    <w:jc w:val="both"/>
                    <w:rPr>
                      <w:rFonts w:ascii="Cambria" w:hAnsi="Cambria" w:cs="Calibri"/>
                    </w:rPr>
                  </w:pPr>
                </w:p>
              </w:tc>
              <w:tc>
                <w:tcPr>
                  <w:tcW w:w="964" w:type="dxa"/>
                  <w:tcBorders>
                    <w:top w:val="single" w:sz="4" w:space="0" w:color="auto"/>
                    <w:left w:val="single" w:sz="4" w:space="0" w:color="auto"/>
                    <w:bottom w:val="single" w:sz="4" w:space="0" w:color="auto"/>
                    <w:right w:val="single" w:sz="4" w:space="0" w:color="auto"/>
                  </w:tcBorders>
                </w:tcPr>
                <w:p w:rsidR="000A0072" w:rsidRDefault="000A0072">
                  <w:pPr>
                    <w:ind w:right="194"/>
                    <w:jc w:val="both"/>
                    <w:rPr>
                      <w:rFonts w:ascii="Cambria" w:hAnsi="Cambria" w:cs="Calibri"/>
                    </w:rPr>
                  </w:pPr>
                </w:p>
              </w:tc>
              <w:tc>
                <w:tcPr>
                  <w:tcW w:w="886" w:type="dxa"/>
                  <w:tcBorders>
                    <w:top w:val="single" w:sz="4" w:space="0" w:color="auto"/>
                    <w:left w:val="single" w:sz="4" w:space="0" w:color="auto"/>
                    <w:bottom w:val="single" w:sz="4" w:space="0" w:color="auto"/>
                    <w:right w:val="single" w:sz="4" w:space="0" w:color="auto"/>
                  </w:tcBorders>
                </w:tcPr>
                <w:p w:rsidR="000A0072" w:rsidRDefault="000A0072">
                  <w:pPr>
                    <w:ind w:right="194"/>
                    <w:jc w:val="both"/>
                    <w:rPr>
                      <w:rFonts w:ascii="Cambria" w:hAnsi="Cambria" w:cs="Calibri"/>
                    </w:rPr>
                  </w:pPr>
                </w:p>
              </w:tc>
              <w:tc>
                <w:tcPr>
                  <w:tcW w:w="1003" w:type="dxa"/>
                  <w:tcBorders>
                    <w:top w:val="single" w:sz="4" w:space="0" w:color="auto"/>
                    <w:left w:val="single" w:sz="4" w:space="0" w:color="auto"/>
                    <w:bottom w:val="single" w:sz="4" w:space="0" w:color="auto"/>
                    <w:right w:val="single" w:sz="4" w:space="0" w:color="auto"/>
                  </w:tcBorders>
                </w:tcPr>
                <w:p w:rsidR="000A0072" w:rsidRDefault="000A0072">
                  <w:pPr>
                    <w:ind w:right="194"/>
                    <w:jc w:val="both"/>
                    <w:rPr>
                      <w:rFonts w:ascii="Cambria" w:hAnsi="Cambria" w:cs="Calibri"/>
                    </w:rPr>
                  </w:pPr>
                </w:p>
              </w:tc>
            </w:tr>
          </w:tbl>
          <w:p w:rsidR="00833A34" w:rsidRDefault="00833A34">
            <w:pPr>
              <w:rPr>
                <w:rFonts w:ascii="Cambria" w:hAnsi="Cambria"/>
                <w:sz w:val="22"/>
                <w:szCs w:val="22"/>
              </w:rPr>
            </w:pPr>
          </w:p>
        </w:tc>
      </w:tr>
      <w:tr w:rsidR="00833A34" w:rsidTr="00833A34">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cs="Calibri"/>
                <w:sz w:val="22"/>
                <w:szCs w:val="22"/>
              </w:rPr>
              <w:t>Work load in hours</w:t>
            </w:r>
          </w:p>
        </w:tc>
        <w:tc>
          <w:tcPr>
            <w:tcW w:w="7351" w:type="dxa"/>
            <w:gridSpan w:val="2"/>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0" w:tblpY="211"/>
              <w:tblOverlap w:val="never"/>
              <w:tblW w:w="7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79"/>
              <w:gridCol w:w="1132"/>
              <w:gridCol w:w="868"/>
              <w:gridCol w:w="741"/>
              <w:gridCol w:w="1057"/>
              <w:gridCol w:w="838"/>
              <w:gridCol w:w="588"/>
              <w:gridCol w:w="589"/>
            </w:tblGrid>
            <w:tr w:rsidR="00833A34">
              <w:trPr>
                <w:trHeight w:val="375"/>
              </w:trPr>
              <w:tc>
                <w:tcPr>
                  <w:tcW w:w="5948" w:type="dxa"/>
                  <w:gridSpan w:val="7"/>
                  <w:tcBorders>
                    <w:top w:val="single" w:sz="4" w:space="0" w:color="auto"/>
                    <w:left w:val="single" w:sz="4" w:space="0" w:color="auto"/>
                    <w:bottom w:val="single" w:sz="4" w:space="0" w:color="auto"/>
                    <w:right w:val="single" w:sz="4" w:space="0" w:color="auto"/>
                  </w:tcBorders>
                  <w:noWrap/>
                  <w:vAlign w:val="center"/>
                  <w:hideMark/>
                </w:tcPr>
                <w:p w:rsidR="00833A34" w:rsidRDefault="00833A34">
                  <w:pPr>
                    <w:rPr>
                      <w:rFonts w:ascii="Cambria" w:hAnsi="Cambria"/>
                      <w:bCs/>
                      <w:sz w:val="20"/>
                      <w:szCs w:val="20"/>
                    </w:rPr>
                  </w:pPr>
                  <w:r>
                    <w:rPr>
                      <w:rFonts w:ascii="Cambria" w:hAnsi="Cambria"/>
                      <w:bCs/>
                      <w:sz w:val="20"/>
                      <w:szCs w:val="20"/>
                    </w:rPr>
                    <w:t>Hours Required</w:t>
                  </w:r>
                </w:p>
              </w:tc>
              <w:tc>
                <w:tcPr>
                  <w:tcW w:w="588" w:type="dxa"/>
                  <w:vMerge w:val="restart"/>
                  <w:tcBorders>
                    <w:top w:val="single" w:sz="4" w:space="0" w:color="auto"/>
                    <w:left w:val="single" w:sz="4" w:space="0" w:color="auto"/>
                    <w:bottom w:val="single" w:sz="4" w:space="0" w:color="auto"/>
                    <w:right w:val="single" w:sz="4" w:space="0" w:color="auto"/>
                  </w:tcBorders>
                  <w:noWrap/>
                  <w:vAlign w:val="center"/>
                  <w:hideMark/>
                </w:tcPr>
                <w:p w:rsidR="00833A34" w:rsidRDefault="00833A34">
                  <w:pPr>
                    <w:rPr>
                      <w:rFonts w:ascii="Cambria" w:hAnsi="Cambria"/>
                      <w:bCs/>
                      <w:sz w:val="20"/>
                      <w:szCs w:val="20"/>
                    </w:rPr>
                  </w:pPr>
                  <w:r>
                    <w:rPr>
                      <w:rFonts w:ascii="Cambria" w:hAnsi="Cambria"/>
                      <w:bCs/>
                      <w:sz w:val="20"/>
                      <w:szCs w:val="20"/>
                    </w:rPr>
                    <w:t xml:space="preserve">Total </w:t>
                  </w:r>
                  <w:proofErr w:type="spellStart"/>
                  <w:r>
                    <w:rPr>
                      <w:rFonts w:ascii="Cambria" w:hAnsi="Cambria"/>
                      <w:bCs/>
                      <w:sz w:val="20"/>
                      <w:szCs w:val="20"/>
                    </w:rPr>
                    <w:t>Hrs</w:t>
                  </w:r>
                  <w:proofErr w:type="spellEnd"/>
                </w:p>
              </w:tc>
              <w:tc>
                <w:tcPr>
                  <w:tcW w:w="589" w:type="dxa"/>
                  <w:vMerge w:val="restart"/>
                  <w:tcBorders>
                    <w:top w:val="single" w:sz="4" w:space="0" w:color="auto"/>
                    <w:left w:val="single" w:sz="4" w:space="0" w:color="auto"/>
                    <w:bottom w:val="single" w:sz="4" w:space="0" w:color="auto"/>
                    <w:right w:val="single" w:sz="4" w:space="0" w:color="auto"/>
                  </w:tcBorders>
                  <w:noWrap/>
                  <w:vAlign w:val="center"/>
                  <w:hideMark/>
                </w:tcPr>
                <w:p w:rsidR="00833A34" w:rsidRDefault="00833A34">
                  <w:pPr>
                    <w:rPr>
                      <w:rFonts w:ascii="Cambria" w:hAnsi="Cambria"/>
                      <w:bCs/>
                      <w:sz w:val="20"/>
                      <w:szCs w:val="20"/>
                    </w:rPr>
                  </w:pPr>
                  <w:r>
                    <w:rPr>
                      <w:rFonts w:ascii="Cambria" w:hAnsi="Cambria"/>
                      <w:bCs/>
                      <w:sz w:val="20"/>
                      <w:szCs w:val="20"/>
                    </w:rPr>
                    <w:t>ECTS</w:t>
                  </w:r>
                </w:p>
              </w:tc>
            </w:tr>
            <w:tr w:rsidR="00833A34">
              <w:trPr>
                <w:trHeight w:val="375"/>
              </w:trPr>
              <w:tc>
                <w:tcPr>
                  <w:tcW w:w="833" w:type="dxa"/>
                  <w:tcBorders>
                    <w:top w:val="single" w:sz="4" w:space="0" w:color="auto"/>
                    <w:left w:val="single" w:sz="4" w:space="0" w:color="auto"/>
                    <w:bottom w:val="single" w:sz="4" w:space="0" w:color="auto"/>
                    <w:right w:val="single" w:sz="4" w:space="0" w:color="auto"/>
                  </w:tcBorders>
                  <w:noWrap/>
                  <w:vAlign w:val="bottom"/>
                  <w:hideMark/>
                </w:tcPr>
                <w:p w:rsidR="00833A34" w:rsidRDefault="00833A34">
                  <w:pPr>
                    <w:rPr>
                      <w:rFonts w:ascii="Cambria" w:hAnsi="Cambria"/>
                      <w:bCs/>
                      <w:sz w:val="20"/>
                      <w:szCs w:val="20"/>
                    </w:rPr>
                  </w:pPr>
                  <w:r>
                    <w:rPr>
                      <w:rFonts w:ascii="Cambria" w:hAnsi="Cambria"/>
                      <w:bCs/>
                      <w:sz w:val="20"/>
                      <w:szCs w:val="20"/>
                    </w:rPr>
                    <w:t>Lectures</w:t>
                  </w:r>
                </w:p>
              </w:tc>
              <w:tc>
                <w:tcPr>
                  <w:tcW w:w="479" w:type="dxa"/>
                  <w:tcBorders>
                    <w:top w:val="single" w:sz="4" w:space="0" w:color="auto"/>
                    <w:left w:val="single" w:sz="4" w:space="0" w:color="auto"/>
                    <w:bottom w:val="single" w:sz="4" w:space="0" w:color="auto"/>
                    <w:right w:val="single" w:sz="4" w:space="0" w:color="auto"/>
                  </w:tcBorders>
                  <w:noWrap/>
                  <w:vAlign w:val="bottom"/>
                  <w:hideMark/>
                </w:tcPr>
                <w:p w:rsidR="00833A34" w:rsidRDefault="00833A34">
                  <w:pPr>
                    <w:rPr>
                      <w:rFonts w:ascii="Cambria" w:hAnsi="Cambria"/>
                      <w:bCs/>
                      <w:sz w:val="20"/>
                      <w:szCs w:val="20"/>
                    </w:rPr>
                  </w:pPr>
                  <w:r>
                    <w:rPr>
                      <w:rFonts w:ascii="Cambria" w:hAnsi="Cambria"/>
                      <w:bCs/>
                      <w:sz w:val="20"/>
                      <w:szCs w:val="20"/>
                    </w:rPr>
                    <w:t>Lab</w:t>
                  </w:r>
                </w:p>
              </w:tc>
              <w:tc>
                <w:tcPr>
                  <w:tcW w:w="1132" w:type="dxa"/>
                  <w:tcBorders>
                    <w:top w:val="single" w:sz="4" w:space="0" w:color="auto"/>
                    <w:left w:val="single" w:sz="4" w:space="0" w:color="auto"/>
                    <w:bottom w:val="single" w:sz="4" w:space="0" w:color="auto"/>
                    <w:right w:val="single" w:sz="4" w:space="0" w:color="auto"/>
                  </w:tcBorders>
                  <w:noWrap/>
                  <w:vAlign w:val="bottom"/>
                  <w:hideMark/>
                </w:tcPr>
                <w:p w:rsidR="00833A34" w:rsidRDefault="00833A34">
                  <w:pPr>
                    <w:rPr>
                      <w:rFonts w:ascii="Cambria" w:hAnsi="Cambria"/>
                      <w:bCs/>
                      <w:sz w:val="20"/>
                      <w:szCs w:val="20"/>
                    </w:rPr>
                  </w:pPr>
                  <w:r>
                    <w:rPr>
                      <w:rFonts w:ascii="Cambria" w:hAnsi="Cambria"/>
                      <w:bCs/>
                      <w:sz w:val="20"/>
                      <w:szCs w:val="20"/>
                    </w:rPr>
                    <w:t>Assessments</w:t>
                  </w:r>
                </w:p>
              </w:tc>
              <w:tc>
                <w:tcPr>
                  <w:tcW w:w="868" w:type="dxa"/>
                  <w:tcBorders>
                    <w:top w:val="single" w:sz="4" w:space="0" w:color="auto"/>
                    <w:left w:val="single" w:sz="4" w:space="0" w:color="auto"/>
                    <w:bottom w:val="single" w:sz="4" w:space="0" w:color="auto"/>
                    <w:right w:val="single" w:sz="4" w:space="0" w:color="auto"/>
                  </w:tcBorders>
                  <w:noWrap/>
                  <w:vAlign w:val="bottom"/>
                  <w:hideMark/>
                </w:tcPr>
                <w:p w:rsidR="00833A34" w:rsidRDefault="00833A34">
                  <w:pPr>
                    <w:rPr>
                      <w:rFonts w:ascii="Cambria" w:hAnsi="Cambria"/>
                      <w:bCs/>
                      <w:sz w:val="20"/>
                      <w:szCs w:val="20"/>
                    </w:rPr>
                  </w:pPr>
                  <w:r>
                    <w:rPr>
                      <w:rFonts w:ascii="Cambria" w:hAnsi="Cambria"/>
                      <w:bCs/>
                      <w:sz w:val="20"/>
                      <w:szCs w:val="20"/>
                    </w:rPr>
                    <w:t>Tutorials</w:t>
                  </w:r>
                </w:p>
              </w:tc>
              <w:tc>
                <w:tcPr>
                  <w:tcW w:w="741" w:type="dxa"/>
                  <w:tcBorders>
                    <w:top w:val="single" w:sz="4" w:space="0" w:color="auto"/>
                    <w:left w:val="single" w:sz="4" w:space="0" w:color="auto"/>
                    <w:bottom w:val="single" w:sz="4" w:space="0" w:color="auto"/>
                    <w:right w:val="single" w:sz="4" w:space="0" w:color="auto"/>
                  </w:tcBorders>
                  <w:noWrap/>
                  <w:vAlign w:val="bottom"/>
                  <w:hideMark/>
                </w:tcPr>
                <w:p w:rsidR="00833A34" w:rsidRDefault="00833A34">
                  <w:pPr>
                    <w:rPr>
                      <w:rFonts w:ascii="Cambria" w:hAnsi="Cambria"/>
                      <w:bCs/>
                      <w:sz w:val="20"/>
                      <w:szCs w:val="20"/>
                    </w:rPr>
                  </w:pPr>
                  <w:r>
                    <w:rPr>
                      <w:rFonts w:ascii="Cambria" w:hAnsi="Cambria"/>
                      <w:bCs/>
                      <w:sz w:val="20"/>
                      <w:szCs w:val="20"/>
                    </w:rPr>
                    <w:t>Self-Studies</w:t>
                  </w:r>
                </w:p>
              </w:tc>
              <w:tc>
                <w:tcPr>
                  <w:tcW w:w="1057" w:type="dxa"/>
                  <w:tcBorders>
                    <w:top w:val="single" w:sz="4" w:space="0" w:color="auto"/>
                    <w:left w:val="single" w:sz="4" w:space="0" w:color="auto"/>
                    <w:bottom w:val="single" w:sz="4" w:space="0" w:color="auto"/>
                    <w:right w:val="single" w:sz="4" w:space="0" w:color="auto"/>
                  </w:tcBorders>
                  <w:noWrap/>
                  <w:vAlign w:val="bottom"/>
                  <w:hideMark/>
                </w:tcPr>
                <w:p w:rsidR="00833A34" w:rsidRDefault="00833A34">
                  <w:pPr>
                    <w:rPr>
                      <w:rFonts w:ascii="Cambria" w:hAnsi="Cambria"/>
                      <w:bCs/>
                      <w:sz w:val="20"/>
                      <w:szCs w:val="20"/>
                    </w:rPr>
                  </w:pPr>
                  <w:r>
                    <w:rPr>
                      <w:rFonts w:ascii="Cambria" w:hAnsi="Cambria"/>
                      <w:bCs/>
                      <w:sz w:val="20"/>
                      <w:szCs w:val="20"/>
                    </w:rPr>
                    <w:t>Assignment</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833A34" w:rsidRDefault="00833A34">
                  <w:pPr>
                    <w:rPr>
                      <w:rFonts w:ascii="Cambria" w:hAnsi="Cambria"/>
                      <w:bCs/>
                      <w:sz w:val="20"/>
                      <w:szCs w:val="20"/>
                    </w:rPr>
                  </w:pPr>
                  <w:r>
                    <w:rPr>
                      <w:rFonts w:ascii="Cambria" w:hAnsi="Cambria"/>
                      <w:bCs/>
                      <w:sz w:val="20"/>
                      <w:szCs w:val="20"/>
                    </w:rPr>
                    <w:t>Advising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A34" w:rsidRDefault="00833A34">
                  <w:pPr>
                    <w:rPr>
                      <w:rFonts w:ascii="Cambria" w:hAnsi="Cambr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A34" w:rsidRDefault="00833A34">
                  <w:pPr>
                    <w:rPr>
                      <w:rFonts w:ascii="Cambria" w:hAnsi="Cambria"/>
                      <w:bCs/>
                      <w:sz w:val="20"/>
                      <w:szCs w:val="20"/>
                    </w:rPr>
                  </w:pPr>
                </w:p>
              </w:tc>
            </w:tr>
            <w:tr w:rsidR="00833A34">
              <w:trPr>
                <w:trHeight w:val="375"/>
              </w:trPr>
              <w:tc>
                <w:tcPr>
                  <w:tcW w:w="833" w:type="dxa"/>
                  <w:tcBorders>
                    <w:top w:val="single" w:sz="4" w:space="0" w:color="auto"/>
                    <w:left w:val="single" w:sz="4" w:space="0" w:color="auto"/>
                    <w:bottom w:val="single" w:sz="4" w:space="0" w:color="auto"/>
                    <w:right w:val="single" w:sz="4" w:space="0" w:color="auto"/>
                  </w:tcBorders>
                  <w:noWrap/>
                  <w:vAlign w:val="bottom"/>
                  <w:hideMark/>
                </w:tcPr>
                <w:p w:rsidR="00833A34" w:rsidRDefault="00833A34">
                  <w:pPr>
                    <w:jc w:val="right"/>
                    <w:rPr>
                      <w:rFonts w:ascii="Cambria" w:hAnsi="Cambria"/>
                      <w:bCs/>
                    </w:rPr>
                  </w:pPr>
                  <w:r>
                    <w:rPr>
                      <w:rFonts w:ascii="Cambria" w:hAnsi="Cambria"/>
                      <w:bCs/>
                      <w:sz w:val="22"/>
                      <w:szCs w:val="22"/>
                    </w:rPr>
                    <w:t>48</w:t>
                  </w:r>
                </w:p>
              </w:tc>
              <w:tc>
                <w:tcPr>
                  <w:tcW w:w="479" w:type="dxa"/>
                  <w:tcBorders>
                    <w:top w:val="single" w:sz="4" w:space="0" w:color="auto"/>
                    <w:left w:val="single" w:sz="4" w:space="0" w:color="auto"/>
                    <w:bottom w:val="single" w:sz="4" w:space="0" w:color="auto"/>
                    <w:right w:val="single" w:sz="4" w:space="0" w:color="auto"/>
                  </w:tcBorders>
                  <w:noWrap/>
                  <w:vAlign w:val="bottom"/>
                  <w:hideMark/>
                </w:tcPr>
                <w:p w:rsidR="00833A34" w:rsidRDefault="00833A34">
                  <w:pPr>
                    <w:rPr>
                      <w:rFonts w:ascii="Cambria" w:hAnsi="Cambria"/>
                      <w:bCs/>
                    </w:rPr>
                  </w:pPr>
                  <w:r>
                    <w:rPr>
                      <w:rFonts w:ascii="Cambria" w:hAnsi="Cambria"/>
                      <w:bCs/>
                      <w:sz w:val="22"/>
                      <w:szCs w:val="22"/>
                    </w:rPr>
                    <w:t> -</w:t>
                  </w:r>
                </w:p>
              </w:tc>
              <w:tc>
                <w:tcPr>
                  <w:tcW w:w="1132" w:type="dxa"/>
                  <w:tcBorders>
                    <w:top w:val="single" w:sz="4" w:space="0" w:color="auto"/>
                    <w:left w:val="single" w:sz="4" w:space="0" w:color="auto"/>
                    <w:bottom w:val="single" w:sz="4" w:space="0" w:color="auto"/>
                    <w:right w:val="single" w:sz="4" w:space="0" w:color="auto"/>
                  </w:tcBorders>
                  <w:noWrap/>
                  <w:vAlign w:val="bottom"/>
                  <w:hideMark/>
                </w:tcPr>
                <w:p w:rsidR="00833A34" w:rsidRDefault="00833A34">
                  <w:pPr>
                    <w:jc w:val="right"/>
                    <w:rPr>
                      <w:rFonts w:ascii="Cambria" w:hAnsi="Cambria"/>
                      <w:bCs/>
                    </w:rPr>
                  </w:pPr>
                  <w:r>
                    <w:rPr>
                      <w:rFonts w:ascii="Cambria" w:hAnsi="Cambria"/>
                      <w:bCs/>
                      <w:sz w:val="22"/>
                      <w:szCs w:val="22"/>
                    </w:rPr>
                    <w:t>10</w:t>
                  </w:r>
                </w:p>
              </w:tc>
              <w:tc>
                <w:tcPr>
                  <w:tcW w:w="868" w:type="dxa"/>
                  <w:tcBorders>
                    <w:top w:val="single" w:sz="4" w:space="0" w:color="auto"/>
                    <w:left w:val="single" w:sz="4" w:space="0" w:color="auto"/>
                    <w:bottom w:val="single" w:sz="4" w:space="0" w:color="auto"/>
                    <w:right w:val="single" w:sz="4" w:space="0" w:color="auto"/>
                  </w:tcBorders>
                  <w:noWrap/>
                  <w:vAlign w:val="bottom"/>
                  <w:hideMark/>
                </w:tcPr>
                <w:p w:rsidR="00833A34" w:rsidRDefault="00833A34">
                  <w:pPr>
                    <w:jc w:val="right"/>
                    <w:rPr>
                      <w:rFonts w:ascii="Cambria" w:hAnsi="Cambria"/>
                      <w:bCs/>
                    </w:rPr>
                  </w:pPr>
                  <w:r>
                    <w:rPr>
                      <w:rFonts w:ascii="Cambria" w:hAnsi="Cambria"/>
                      <w:bCs/>
                      <w:sz w:val="22"/>
                      <w:szCs w:val="22"/>
                    </w:rPr>
                    <w:t>12</w:t>
                  </w:r>
                </w:p>
              </w:tc>
              <w:tc>
                <w:tcPr>
                  <w:tcW w:w="741" w:type="dxa"/>
                  <w:tcBorders>
                    <w:top w:val="single" w:sz="4" w:space="0" w:color="auto"/>
                    <w:left w:val="single" w:sz="4" w:space="0" w:color="auto"/>
                    <w:bottom w:val="single" w:sz="4" w:space="0" w:color="auto"/>
                    <w:right w:val="single" w:sz="4" w:space="0" w:color="auto"/>
                  </w:tcBorders>
                  <w:noWrap/>
                  <w:vAlign w:val="bottom"/>
                  <w:hideMark/>
                </w:tcPr>
                <w:p w:rsidR="00833A34" w:rsidRDefault="00833A34">
                  <w:pPr>
                    <w:jc w:val="right"/>
                    <w:rPr>
                      <w:rFonts w:ascii="Cambria" w:hAnsi="Cambria"/>
                      <w:bCs/>
                    </w:rPr>
                  </w:pPr>
                  <w:r>
                    <w:rPr>
                      <w:rFonts w:ascii="Cambria" w:hAnsi="Cambria"/>
                      <w:bCs/>
                    </w:rPr>
                    <w:t>55</w:t>
                  </w:r>
                </w:p>
              </w:tc>
              <w:tc>
                <w:tcPr>
                  <w:tcW w:w="1057" w:type="dxa"/>
                  <w:tcBorders>
                    <w:top w:val="single" w:sz="4" w:space="0" w:color="auto"/>
                    <w:left w:val="single" w:sz="4" w:space="0" w:color="auto"/>
                    <w:bottom w:val="single" w:sz="4" w:space="0" w:color="auto"/>
                    <w:right w:val="single" w:sz="4" w:space="0" w:color="auto"/>
                  </w:tcBorders>
                  <w:noWrap/>
                  <w:vAlign w:val="bottom"/>
                  <w:hideMark/>
                </w:tcPr>
                <w:p w:rsidR="00833A34" w:rsidRDefault="00833A34">
                  <w:pPr>
                    <w:rPr>
                      <w:rFonts w:ascii="Cambria" w:hAnsi="Cambria"/>
                      <w:bCs/>
                    </w:rPr>
                  </w:pPr>
                  <w:r>
                    <w:rPr>
                      <w:rFonts w:ascii="Cambria" w:hAnsi="Cambria"/>
                      <w:bCs/>
                      <w:sz w:val="22"/>
                      <w:szCs w:val="22"/>
                    </w:rPr>
                    <w:t> -</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833A34" w:rsidRDefault="00833A34">
                  <w:pPr>
                    <w:rPr>
                      <w:rFonts w:ascii="Cambria" w:hAnsi="Cambria"/>
                      <w:bCs/>
                    </w:rPr>
                  </w:pPr>
                  <w:r>
                    <w:rPr>
                      <w:rFonts w:ascii="Cambria" w:hAnsi="Cambria"/>
                      <w:bCs/>
                      <w:sz w:val="22"/>
                      <w:szCs w:val="22"/>
                    </w:rPr>
                    <w:t>- </w:t>
                  </w:r>
                </w:p>
              </w:tc>
              <w:tc>
                <w:tcPr>
                  <w:tcW w:w="588" w:type="dxa"/>
                  <w:tcBorders>
                    <w:top w:val="single" w:sz="4" w:space="0" w:color="auto"/>
                    <w:left w:val="single" w:sz="4" w:space="0" w:color="auto"/>
                    <w:bottom w:val="single" w:sz="4" w:space="0" w:color="auto"/>
                    <w:right w:val="single" w:sz="4" w:space="0" w:color="auto"/>
                  </w:tcBorders>
                  <w:noWrap/>
                  <w:vAlign w:val="bottom"/>
                  <w:hideMark/>
                </w:tcPr>
                <w:p w:rsidR="00833A34" w:rsidRDefault="00833A34">
                  <w:pPr>
                    <w:rPr>
                      <w:rFonts w:ascii="Cambria" w:hAnsi="Cambria"/>
                      <w:bCs/>
                    </w:rPr>
                  </w:pPr>
                  <w:r>
                    <w:rPr>
                      <w:rFonts w:ascii="Cambria" w:hAnsi="Cambria"/>
                      <w:bCs/>
                      <w:sz w:val="22"/>
                      <w:szCs w:val="22"/>
                    </w:rPr>
                    <w:t>135</w:t>
                  </w:r>
                </w:p>
              </w:tc>
              <w:tc>
                <w:tcPr>
                  <w:tcW w:w="589" w:type="dxa"/>
                  <w:tcBorders>
                    <w:top w:val="single" w:sz="4" w:space="0" w:color="auto"/>
                    <w:left w:val="single" w:sz="4" w:space="0" w:color="auto"/>
                    <w:bottom w:val="single" w:sz="4" w:space="0" w:color="auto"/>
                    <w:right w:val="single" w:sz="4" w:space="0" w:color="auto"/>
                  </w:tcBorders>
                  <w:noWrap/>
                  <w:vAlign w:val="bottom"/>
                  <w:hideMark/>
                </w:tcPr>
                <w:p w:rsidR="00833A34" w:rsidRDefault="00833A34">
                  <w:pPr>
                    <w:jc w:val="right"/>
                    <w:rPr>
                      <w:rFonts w:ascii="Cambria" w:hAnsi="Cambria"/>
                      <w:bCs/>
                    </w:rPr>
                  </w:pPr>
                  <w:r>
                    <w:rPr>
                      <w:rFonts w:ascii="Cambria" w:hAnsi="Cambria"/>
                      <w:bCs/>
                      <w:sz w:val="22"/>
                      <w:szCs w:val="22"/>
                    </w:rPr>
                    <w:t>5</w:t>
                  </w:r>
                </w:p>
              </w:tc>
            </w:tr>
          </w:tbl>
          <w:p w:rsidR="00833A34" w:rsidRDefault="00833A34">
            <w:pPr>
              <w:rPr>
                <w:rFonts w:ascii="Cambria" w:hAnsi="Cambria"/>
                <w:sz w:val="22"/>
                <w:szCs w:val="22"/>
              </w:rPr>
            </w:pPr>
          </w:p>
        </w:tc>
      </w:tr>
      <w:tr w:rsidR="00833A34" w:rsidTr="00833A34">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cs="Calibri"/>
                <w:sz w:val="22"/>
                <w:szCs w:val="22"/>
              </w:rPr>
              <w:t>Roles of the Instructor</w:t>
            </w:r>
          </w:p>
        </w:tc>
        <w:tc>
          <w:tcPr>
            <w:tcW w:w="7351" w:type="dxa"/>
            <w:gridSpan w:val="2"/>
            <w:tcBorders>
              <w:top w:val="single" w:sz="4" w:space="0" w:color="auto"/>
              <w:left w:val="single" w:sz="4" w:space="0" w:color="auto"/>
              <w:bottom w:val="single" w:sz="4" w:space="0" w:color="auto"/>
              <w:right w:val="single" w:sz="4" w:space="0" w:color="auto"/>
            </w:tcBorders>
            <w:hideMark/>
          </w:tcPr>
          <w:p w:rsidR="00833A34" w:rsidRPr="00547B6B" w:rsidRDefault="00833A34">
            <w:pPr>
              <w:ind w:right="194"/>
              <w:jc w:val="both"/>
              <w:rPr>
                <w:rFonts w:ascii="Cambria" w:hAnsi="Cambria"/>
                <w:sz w:val="21"/>
                <w:szCs w:val="21"/>
              </w:rPr>
            </w:pPr>
            <w:r w:rsidRPr="00547B6B">
              <w:rPr>
                <w:rFonts w:ascii="Cambria" w:hAnsi="Cambria" w:cs="Calibri"/>
                <w:sz w:val="21"/>
                <w:szCs w:val="21"/>
              </w:rPr>
              <w:t xml:space="preserve">He/she will come to the class regularly on time and deliver the lecture in a well-organized manner. Besides, at the end of each class he/she gives reading assignment for the next class. He/she will make sure that </w:t>
            </w:r>
            <w:proofErr w:type="gramStart"/>
            <w:r w:rsidRPr="00547B6B">
              <w:rPr>
                <w:rFonts w:ascii="Cambria" w:hAnsi="Cambria" w:cs="Calibri"/>
                <w:sz w:val="21"/>
                <w:szCs w:val="21"/>
              </w:rPr>
              <w:t>proper assessments is</w:t>
            </w:r>
            <w:proofErr w:type="gramEnd"/>
            <w:r w:rsidRPr="00547B6B">
              <w:rPr>
                <w:rFonts w:ascii="Cambria" w:hAnsi="Cambria" w:cs="Calibri"/>
                <w:sz w:val="21"/>
                <w:szCs w:val="21"/>
              </w:rPr>
              <w:t xml:space="preserve"> given. He/she is also responsible to give feedback for each assessment.</w:t>
            </w:r>
          </w:p>
        </w:tc>
      </w:tr>
      <w:tr w:rsidR="00833A34" w:rsidTr="00833A34">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cs="Calibri"/>
                <w:sz w:val="22"/>
                <w:szCs w:val="22"/>
              </w:rPr>
              <w:t>Roles of the students</w:t>
            </w:r>
          </w:p>
        </w:tc>
        <w:tc>
          <w:tcPr>
            <w:tcW w:w="7351" w:type="dxa"/>
            <w:gridSpan w:val="2"/>
            <w:tcBorders>
              <w:top w:val="single" w:sz="4" w:space="0" w:color="auto"/>
              <w:left w:val="single" w:sz="4" w:space="0" w:color="auto"/>
              <w:bottom w:val="single" w:sz="4" w:space="0" w:color="auto"/>
              <w:right w:val="single" w:sz="4" w:space="0" w:color="auto"/>
            </w:tcBorders>
            <w:hideMark/>
          </w:tcPr>
          <w:p w:rsidR="00833A34" w:rsidRPr="00547B6B" w:rsidRDefault="00833A34">
            <w:pPr>
              <w:jc w:val="both"/>
              <w:rPr>
                <w:rFonts w:ascii="Cambria" w:hAnsi="Cambria"/>
                <w:sz w:val="21"/>
                <w:szCs w:val="21"/>
              </w:rPr>
            </w:pPr>
            <w:r w:rsidRPr="00547B6B">
              <w:rPr>
                <w:rFonts w:ascii="Cambria" w:hAnsi="Cambria" w:cs="Calibri"/>
                <w:sz w:val="21"/>
                <w:szCs w:val="21"/>
              </w:rPr>
              <w:t>The success of this course depends on the students’ individual and collective contribution to the class discussions. Students are expected to participate voluntarily, or will be called upon, to contribute to set exercises and problems. Students are also expected to read the assigned readings and prepare the cases before each class so that they could</w:t>
            </w:r>
            <w:bookmarkStart w:id="0" w:name="_GoBack"/>
            <w:bookmarkEnd w:id="0"/>
            <w:r w:rsidRPr="00547B6B">
              <w:rPr>
                <w:rFonts w:ascii="Cambria" w:hAnsi="Cambria" w:cs="Calibri"/>
                <w:sz w:val="21"/>
                <w:szCs w:val="21"/>
              </w:rPr>
              <w:t xml:space="preserve"> contribute effectively to class discussions. Students must attempt assignments </w:t>
            </w:r>
            <w:proofErr w:type="gramStart"/>
            <w:r w:rsidRPr="00547B6B">
              <w:rPr>
                <w:rFonts w:ascii="Cambria" w:hAnsi="Cambria" w:cs="Calibri"/>
                <w:sz w:val="21"/>
                <w:szCs w:val="21"/>
              </w:rPr>
              <w:t>by their own</w:t>
            </w:r>
            <w:proofErr w:type="gramEnd"/>
            <w:r w:rsidRPr="00547B6B">
              <w:rPr>
                <w:rFonts w:ascii="Cambria" w:hAnsi="Cambria" w:cs="Calibri"/>
                <w:sz w:val="21"/>
                <w:szCs w:val="21"/>
              </w:rPr>
              <w:t xml:space="preserve">. </w:t>
            </w:r>
            <w:r w:rsidRPr="00547B6B">
              <w:rPr>
                <w:rFonts w:ascii="Cambria" w:eastAsia="Calibri" w:hAnsi="Cambria" w:cs="Calibri"/>
                <w:sz w:val="21"/>
                <w:szCs w:val="21"/>
              </w:rPr>
              <w:t xml:space="preserve">Proficiency in this course comes from individual knowledge and understanding. </w:t>
            </w:r>
            <w:r w:rsidRPr="00547B6B">
              <w:rPr>
                <w:rFonts w:ascii="Cambria" w:hAnsi="Cambria" w:cs="Calibri"/>
                <w:sz w:val="21"/>
                <w:szCs w:val="21"/>
              </w:rPr>
              <w:t>Copying the works of others is considered as serious offence and leads to disciplinary actions.</w:t>
            </w:r>
          </w:p>
        </w:tc>
      </w:tr>
      <w:tr w:rsidR="00833A34" w:rsidTr="00833A34">
        <w:tc>
          <w:tcPr>
            <w:tcW w:w="2225" w:type="dxa"/>
            <w:tcBorders>
              <w:top w:val="single" w:sz="4" w:space="0" w:color="auto"/>
              <w:left w:val="single" w:sz="4" w:space="0" w:color="auto"/>
              <w:bottom w:val="single" w:sz="4" w:space="0" w:color="auto"/>
              <w:right w:val="single" w:sz="4" w:space="0" w:color="auto"/>
            </w:tcBorders>
            <w:hideMark/>
          </w:tcPr>
          <w:p w:rsidR="00833A34" w:rsidRDefault="00833A34">
            <w:pPr>
              <w:rPr>
                <w:rFonts w:ascii="Cambria" w:hAnsi="Cambria"/>
                <w:sz w:val="22"/>
                <w:szCs w:val="22"/>
              </w:rPr>
            </w:pPr>
            <w:r>
              <w:rPr>
                <w:rFonts w:ascii="Cambria" w:hAnsi="Cambria" w:cs="Calibri"/>
                <w:sz w:val="22"/>
                <w:szCs w:val="22"/>
              </w:rPr>
              <w:t>Text and reference books</w:t>
            </w:r>
          </w:p>
        </w:tc>
        <w:tc>
          <w:tcPr>
            <w:tcW w:w="7351" w:type="dxa"/>
            <w:gridSpan w:val="2"/>
            <w:tcBorders>
              <w:top w:val="single" w:sz="4" w:space="0" w:color="auto"/>
              <w:left w:val="single" w:sz="4" w:space="0" w:color="auto"/>
              <w:bottom w:val="single" w:sz="4" w:space="0" w:color="auto"/>
              <w:right w:val="single" w:sz="4" w:space="0" w:color="auto"/>
            </w:tcBorders>
          </w:tcPr>
          <w:p w:rsidR="00833A34" w:rsidRDefault="00833A34">
            <w:pPr>
              <w:ind w:right="194"/>
              <w:jc w:val="both"/>
              <w:rPr>
                <w:rFonts w:ascii="Cambria" w:hAnsi="Cambria" w:cs="Calibri"/>
                <w:b/>
                <w:sz w:val="22"/>
                <w:szCs w:val="22"/>
                <w:u w:val="single"/>
              </w:rPr>
            </w:pPr>
            <w:r>
              <w:rPr>
                <w:rFonts w:ascii="Cambria" w:hAnsi="Cambria" w:cs="Calibri"/>
                <w:b/>
                <w:sz w:val="22"/>
                <w:szCs w:val="22"/>
                <w:u w:val="single"/>
              </w:rPr>
              <w:t>Text Book:</w:t>
            </w:r>
          </w:p>
          <w:p w:rsidR="00833A34" w:rsidRDefault="00833A34" w:rsidP="000C0C33">
            <w:pPr>
              <w:pStyle w:val="ListParagraph"/>
              <w:numPr>
                <w:ilvl w:val="0"/>
                <w:numId w:val="2"/>
              </w:numPr>
              <w:ind w:right="194"/>
              <w:jc w:val="both"/>
              <w:rPr>
                <w:rFonts w:ascii="Cambria" w:hAnsi="Cambria" w:cs="Calibri"/>
                <w:sz w:val="22"/>
                <w:szCs w:val="22"/>
              </w:rPr>
            </w:pPr>
            <w:r>
              <w:rPr>
                <w:rFonts w:ascii="Cambria" w:hAnsi="Cambria" w:cs="Calibri"/>
                <w:sz w:val="22"/>
                <w:szCs w:val="22"/>
              </w:rPr>
              <w:t xml:space="preserve">Ross, </w:t>
            </w:r>
            <w:proofErr w:type="spellStart"/>
            <w:r>
              <w:rPr>
                <w:rFonts w:ascii="Cambria" w:hAnsi="Cambria" w:cs="Calibri"/>
                <w:sz w:val="22"/>
                <w:szCs w:val="22"/>
              </w:rPr>
              <w:t>Westerfield</w:t>
            </w:r>
            <w:proofErr w:type="spellEnd"/>
            <w:r w:rsidR="006A1E26">
              <w:rPr>
                <w:rFonts w:ascii="Cambria" w:hAnsi="Cambria" w:cs="Calibri"/>
                <w:sz w:val="22"/>
                <w:szCs w:val="22"/>
              </w:rPr>
              <w:t xml:space="preserve"> </w:t>
            </w:r>
            <w:r>
              <w:rPr>
                <w:rFonts w:ascii="Cambria" w:hAnsi="Cambria"/>
                <w:sz w:val="22"/>
                <w:szCs w:val="22"/>
              </w:rPr>
              <w:t>&amp;</w:t>
            </w:r>
            <w:r w:rsidR="006A1E26">
              <w:rPr>
                <w:rFonts w:ascii="Cambria" w:hAnsi="Cambria"/>
                <w:sz w:val="22"/>
                <w:szCs w:val="22"/>
              </w:rPr>
              <w:t xml:space="preserve"> </w:t>
            </w:r>
            <w:r>
              <w:rPr>
                <w:rFonts w:ascii="Cambria" w:hAnsi="Cambria" w:cs="Calibri"/>
                <w:sz w:val="22"/>
                <w:szCs w:val="22"/>
              </w:rPr>
              <w:t>Jordan</w:t>
            </w:r>
            <w:r>
              <w:rPr>
                <w:rFonts w:ascii="Cambria" w:hAnsi="Cambria"/>
                <w:sz w:val="22"/>
                <w:szCs w:val="22"/>
              </w:rPr>
              <w:t xml:space="preserve">. </w:t>
            </w:r>
            <w:r>
              <w:rPr>
                <w:rFonts w:ascii="Cambria" w:hAnsi="Cambria" w:cs="Calibri"/>
                <w:sz w:val="18"/>
                <w:szCs w:val="16"/>
              </w:rPr>
              <w:t>Fund</w:t>
            </w:r>
            <w:r w:rsidR="000E4840">
              <w:rPr>
                <w:rFonts w:ascii="Cambria" w:hAnsi="Cambria" w:cs="Calibri"/>
                <w:sz w:val="18"/>
                <w:szCs w:val="16"/>
              </w:rPr>
              <w:t>amentals of corporate finance. 13</w:t>
            </w:r>
            <w:r>
              <w:rPr>
                <w:rFonts w:ascii="Cambria" w:hAnsi="Cambria" w:cs="Calibri"/>
                <w:sz w:val="18"/>
                <w:szCs w:val="16"/>
                <w:vertAlign w:val="superscript"/>
              </w:rPr>
              <w:t>th</w:t>
            </w:r>
            <w:r>
              <w:rPr>
                <w:rFonts w:ascii="Cambria" w:hAnsi="Cambria" w:cs="Calibri"/>
                <w:sz w:val="18"/>
                <w:szCs w:val="16"/>
              </w:rPr>
              <w:t xml:space="preserve">. </w:t>
            </w:r>
          </w:p>
          <w:p w:rsidR="00833A34" w:rsidRDefault="00833A34">
            <w:pPr>
              <w:ind w:right="194"/>
              <w:jc w:val="both"/>
              <w:rPr>
                <w:rFonts w:ascii="Cambria" w:hAnsi="Cambria" w:cs="Calibri"/>
                <w:b/>
                <w:sz w:val="22"/>
                <w:szCs w:val="22"/>
                <w:u w:val="single"/>
              </w:rPr>
            </w:pPr>
            <w:r>
              <w:rPr>
                <w:rFonts w:ascii="Cambria" w:hAnsi="Cambria" w:cs="Calibri"/>
                <w:b/>
                <w:sz w:val="22"/>
                <w:szCs w:val="22"/>
                <w:u w:val="single"/>
              </w:rPr>
              <w:t>Reference Books</w:t>
            </w:r>
          </w:p>
          <w:p w:rsidR="00833A34" w:rsidRDefault="00833A34" w:rsidP="000C0C33">
            <w:pPr>
              <w:pStyle w:val="ListParagraph"/>
              <w:numPr>
                <w:ilvl w:val="0"/>
                <w:numId w:val="3"/>
              </w:numPr>
              <w:ind w:right="194"/>
              <w:jc w:val="both"/>
              <w:rPr>
                <w:rFonts w:ascii="Cambria" w:hAnsi="Cambria" w:cs="Calibri"/>
                <w:b/>
                <w:sz w:val="22"/>
                <w:szCs w:val="22"/>
                <w:u w:val="single"/>
              </w:rPr>
            </w:pPr>
            <w:r>
              <w:rPr>
                <w:rFonts w:ascii="Cambria" w:hAnsi="Cambria" w:cs="Calibri"/>
                <w:sz w:val="22"/>
                <w:szCs w:val="22"/>
              </w:rPr>
              <w:t xml:space="preserve">Brigham </w:t>
            </w:r>
            <w:proofErr w:type="spellStart"/>
            <w:r>
              <w:rPr>
                <w:rFonts w:ascii="Cambria" w:hAnsi="Cambria" w:cs="Calibri"/>
                <w:sz w:val="22"/>
                <w:szCs w:val="22"/>
              </w:rPr>
              <w:t>Ehrhadt</w:t>
            </w:r>
            <w:proofErr w:type="spellEnd"/>
            <w:r>
              <w:rPr>
                <w:rFonts w:ascii="Cambria" w:hAnsi="Cambria" w:cs="Calibri"/>
                <w:sz w:val="22"/>
                <w:szCs w:val="22"/>
              </w:rPr>
              <w:t xml:space="preserve">. </w:t>
            </w:r>
            <w:r>
              <w:rPr>
                <w:rFonts w:ascii="Cambria" w:hAnsi="Cambria" w:cs="Calibri"/>
                <w:sz w:val="18"/>
                <w:szCs w:val="16"/>
              </w:rPr>
              <w:t>Financial management theory and practice. 13</w:t>
            </w:r>
            <w:r>
              <w:rPr>
                <w:rFonts w:ascii="Cambria" w:hAnsi="Cambria" w:cs="Calibri"/>
                <w:sz w:val="18"/>
                <w:szCs w:val="16"/>
                <w:vertAlign w:val="superscript"/>
              </w:rPr>
              <w:t>th</w:t>
            </w:r>
            <w:r>
              <w:rPr>
                <w:rFonts w:ascii="Cambria" w:hAnsi="Cambria" w:cs="Calibri"/>
                <w:sz w:val="18"/>
                <w:szCs w:val="16"/>
              </w:rPr>
              <w:t xml:space="preserve"> Ed</w:t>
            </w:r>
          </w:p>
          <w:p w:rsidR="00833A34" w:rsidRDefault="00833A34" w:rsidP="000C0C33">
            <w:pPr>
              <w:pStyle w:val="ListParagraph"/>
              <w:numPr>
                <w:ilvl w:val="0"/>
                <w:numId w:val="3"/>
              </w:numPr>
              <w:ind w:right="194"/>
              <w:jc w:val="both"/>
              <w:rPr>
                <w:rFonts w:ascii="Cambria" w:hAnsi="Cambria" w:cs="Calibri"/>
                <w:b/>
                <w:sz w:val="22"/>
                <w:szCs w:val="22"/>
                <w:u w:val="single"/>
              </w:rPr>
            </w:pPr>
            <w:proofErr w:type="spellStart"/>
            <w:r>
              <w:rPr>
                <w:rFonts w:ascii="Cambria" w:eastAsia="Sabon-Roman" w:hAnsi="Cambria"/>
                <w:sz w:val="22"/>
                <w:szCs w:val="22"/>
              </w:rPr>
              <w:t>Khanna</w:t>
            </w:r>
            <w:proofErr w:type="spellEnd"/>
            <w:r>
              <w:rPr>
                <w:rFonts w:ascii="Cambria" w:eastAsia="Sabon-Roman" w:hAnsi="Cambria"/>
                <w:sz w:val="22"/>
                <w:szCs w:val="22"/>
              </w:rPr>
              <w:t xml:space="preserve"> &amp; Jain. </w:t>
            </w:r>
            <w:r>
              <w:rPr>
                <w:rFonts w:ascii="Cambria" w:hAnsi="Cambria" w:cs="Calibri"/>
                <w:sz w:val="22"/>
                <w:szCs w:val="22"/>
              </w:rPr>
              <w:t xml:space="preserve">Financial management. </w:t>
            </w:r>
          </w:p>
          <w:p w:rsidR="00833A34" w:rsidRPr="00AD17E4" w:rsidRDefault="00833A34" w:rsidP="00AD17E4">
            <w:pPr>
              <w:pStyle w:val="ListParagraph"/>
              <w:numPr>
                <w:ilvl w:val="0"/>
                <w:numId w:val="3"/>
              </w:numPr>
              <w:ind w:right="194"/>
              <w:jc w:val="both"/>
              <w:rPr>
                <w:rFonts w:ascii="Cambria" w:eastAsia="Sabon-Roman" w:hAnsi="Cambria"/>
                <w:sz w:val="22"/>
                <w:szCs w:val="22"/>
              </w:rPr>
            </w:pPr>
            <w:r>
              <w:rPr>
                <w:rFonts w:ascii="Cambria" w:eastAsia="Sabon-Roman" w:hAnsi="Cambria"/>
                <w:sz w:val="22"/>
                <w:szCs w:val="22"/>
              </w:rPr>
              <w:t xml:space="preserve">Financial management. </w:t>
            </w:r>
            <w:proofErr w:type="spellStart"/>
            <w:r>
              <w:rPr>
                <w:rFonts w:ascii="Cambria" w:eastAsia="Sabon-Roman" w:hAnsi="Cambria"/>
                <w:sz w:val="22"/>
                <w:szCs w:val="22"/>
              </w:rPr>
              <w:t>Pandey</w:t>
            </w:r>
            <w:proofErr w:type="spellEnd"/>
          </w:p>
        </w:tc>
      </w:tr>
    </w:tbl>
    <w:p w:rsidR="00CD6DAF" w:rsidRDefault="00CD6DAF"/>
    <w:sectPr w:rsidR="00CD6D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39" w:rsidRDefault="00D80439" w:rsidP="004F2BAA">
      <w:r>
        <w:separator/>
      </w:r>
    </w:p>
  </w:endnote>
  <w:endnote w:type="continuationSeparator" w:id="0">
    <w:p w:rsidR="00D80439" w:rsidRDefault="00D80439" w:rsidP="004F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bon-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794796"/>
      <w:docPartObj>
        <w:docPartGallery w:val="Page Numbers (Bottom of Page)"/>
        <w:docPartUnique/>
      </w:docPartObj>
    </w:sdtPr>
    <w:sdtEndPr/>
    <w:sdtContent>
      <w:sdt>
        <w:sdtPr>
          <w:id w:val="98381352"/>
          <w:docPartObj>
            <w:docPartGallery w:val="Page Numbers (Top of Page)"/>
            <w:docPartUnique/>
          </w:docPartObj>
        </w:sdtPr>
        <w:sdtEndPr/>
        <w:sdtContent>
          <w:p w:rsidR="004F2BAA" w:rsidRDefault="004F2BAA">
            <w:pPr>
              <w:pStyle w:val="Footer"/>
            </w:pPr>
            <w:r>
              <w:t xml:space="preserve">Page </w:t>
            </w:r>
            <w:r>
              <w:rPr>
                <w:b/>
                <w:bCs/>
              </w:rPr>
              <w:fldChar w:fldCharType="begin"/>
            </w:r>
            <w:r>
              <w:rPr>
                <w:b/>
                <w:bCs/>
              </w:rPr>
              <w:instrText xml:space="preserve"> PAGE </w:instrText>
            </w:r>
            <w:r>
              <w:rPr>
                <w:b/>
                <w:bCs/>
              </w:rPr>
              <w:fldChar w:fldCharType="separate"/>
            </w:r>
            <w:r w:rsidR="000549C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549C4">
              <w:rPr>
                <w:b/>
                <w:bCs/>
                <w:noProof/>
              </w:rPr>
              <w:t>2</w:t>
            </w:r>
            <w:r>
              <w:rPr>
                <w:b/>
                <w:bCs/>
              </w:rPr>
              <w:fldChar w:fldCharType="end"/>
            </w:r>
          </w:p>
        </w:sdtContent>
      </w:sdt>
    </w:sdtContent>
  </w:sdt>
  <w:p w:rsidR="004F2BAA" w:rsidRDefault="004F2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39" w:rsidRDefault="00D80439" w:rsidP="004F2BAA">
      <w:r>
        <w:separator/>
      </w:r>
    </w:p>
  </w:footnote>
  <w:footnote w:type="continuationSeparator" w:id="0">
    <w:p w:rsidR="00D80439" w:rsidRDefault="00D80439" w:rsidP="004F2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8A4"/>
    <w:multiLevelType w:val="hybridMultilevel"/>
    <w:tmpl w:val="6C2AFD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F713710"/>
    <w:multiLevelType w:val="multilevel"/>
    <w:tmpl w:val="9626C42E"/>
    <w:lvl w:ilvl="0">
      <w:start w:val="1"/>
      <w:numFmt w:val="decimal"/>
      <w:lvlText w:val="%1."/>
      <w:lvlJc w:val="left"/>
      <w:pPr>
        <w:ind w:left="360" w:hanging="360"/>
      </w:pPr>
    </w:lvl>
    <w:lvl w:ilvl="1">
      <w:start w:val="1"/>
      <w:numFmt w:val="decimal"/>
      <w:isLgl/>
      <w:lvlText w:val="%1.%2."/>
      <w:lvlJc w:val="left"/>
      <w:pPr>
        <w:ind w:left="1170" w:hanging="720"/>
      </w:pPr>
    </w:lvl>
    <w:lvl w:ilvl="2">
      <w:start w:val="1"/>
      <w:numFmt w:val="decimal"/>
      <w:isLgl/>
      <w:lvlText w:val="%1.%2.%3."/>
      <w:lvlJc w:val="left"/>
      <w:pPr>
        <w:ind w:left="153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
    <w:nsid w:val="7F0D5955"/>
    <w:multiLevelType w:val="hybridMultilevel"/>
    <w:tmpl w:val="9E8E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40"/>
    <w:rsid w:val="000549C4"/>
    <w:rsid w:val="000A0072"/>
    <w:rsid w:val="000E4840"/>
    <w:rsid w:val="002A6A39"/>
    <w:rsid w:val="003529D3"/>
    <w:rsid w:val="004F2BAA"/>
    <w:rsid w:val="00547B6B"/>
    <w:rsid w:val="005C3C6E"/>
    <w:rsid w:val="005E4A97"/>
    <w:rsid w:val="006135A0"/>
    <w:rsid w:val="00641EBC"/>
    <w:rsid w:val="006A1E26"/>
    <w:rsid w:val="00706D5D"/>
    <w:rsid w:val="00745639"/>
    <w:rsid w:val="007A7530"/>
    <w:rsid w:val="007B38F7"/>
    <w:rsid w:val="007E7807"/>
    <w:rsid w:val="008010A7"/>
    <w:rsid w:val="00833A34"/>
    <w:rsid w:val="009262E6"/>
    <w:rsid w:val="00931046"/>
    <w:rsid w:val="00A21CF4"/>
    <w:rsid w:val="00A261D7"/>
    <w:rsid w:val="00A37AB8"/>
    <w:rsid w:val="00AD17E4"/>
    <w:rsid w:val="00B27738"/>
    <w:rsid w:val="00B41473"/>
    <w:rsid w:val="00BF053D"/>
    <w:rsid w:val="00CB3276"/>
    <w:rsid w:val="00CD6DAF"/>
    <w:rsid w:val="00D80439"/>
    <w:rsid w:val="00E30CE3"/>
    <w:rsid w:val="00E47339"/>
    <w:rsid w:val="00E7642D"/>
    <w:rsid w:val="00ED17E7"/>
    <w:rsid w:val="00F63440"/>
    <w:rsid w:val="00F765A0"/>
    <w:rsid w:val="00F82EB5"/>
    <w:rsid w:val="00FA6379"/>
    <w:rsid w:val="00FD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833A34"/>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33A34"/>
    <w:pPr>
      <w:ind w:left="720"/>
      <w:contextualSpacing/>
    </w:pPr>
  </w:style>
  <w:style w:type="paragraph" w:customStyle="1" w:styleId="Style">
    <w:name w:val="Style"/>
    <w:rsid w:val="00833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2BAA"/>
    <w:pPr>
      <w:tabs>
        <w:tab w:val="center" w:pos="4680"/>
        <w:tab w:val="right" w:pos="9360"/>
      </w:tabs>
    </w:pPr>
  </w:style>
  <w:style w:type="character" w:customStyle="1" w:styleId="HeaderChar">
    <w:name w:val="Header Char"/>
    <w:basedOn w:val="DefaultParagraphFont"/>
    <w:link w:val="Header"/>
    <w:uiPriority w:val="99"/>
    <w:rsid w:val="004F2B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BAA"/>
    <w:pPr>
      <w:tabs>
        <w:tab w:val="center" w:pos="4680"/>
        <w:tab w:val="right" w:pos="9360"/>
      </w:tabs>
    </w:pPr>
  </w:style>
  <w:style w:type="character" w:customStyle="1" w:styleId="FooterChar">
    <w:name w:val="Footer Char"/>
    <w:basedOn w:val="DefaultParagraphFont"/>
    <w:link w:val="Footer"/>
    <w:uiPriority w:val="99"/>
    <w:rsid w:val="004F2BA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833A34"/>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33A34"/>
    <w:pPr>
      <w:ind w:left="720"/>
      <w:contextualSpacing/>
    </w:pPr>
  </w:style>
  <w:style w:type="paragraph" w:customStyle="1" w:styleId="Style">
    <w:name w:val="Style"/>
    <w:rsid w:val="00833A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2BAA"/>
    <w:pPr>
      <w:tabs>
        <w:tab w:val="center" w:pos="4680"/>
        <w:tab w:val="right" w:pos="9360"/>
      </w:tabs>
    </w:pPr>
  </w:style>
  <w:style w:type="character" w:customStyle="1" w:styleId="HeaderChar">
    <w:name w:val="Header Char"/>
    <w:basedOn w:val="DefaultParagraphFont"/>
    <w:link w:val="Header"/>
    <w:uiPriority w:val="99"/>
    <w:rsid w:val="004F2B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BAA"/>
    <w:pPr>
      <w:tabs>
        <w:tab w:val="center" w:pos="4680"/>
        <w:tab w:val="right" w:pos="9360"/>
      </w:tabs>
    </w:pPr>
  </w:style>
  <w:style w:type="character" w:customStyle="1" w:styleId="FooterChar">
    <w:name w:val="Footer Char"/>
    <w:basedOn w:val="DefaultParagraphFont"/>
    <w:link w:val="Footer"/>
    <w:uiPriority w:val="99"/>
    <w:rsid w:val="004F2B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ETHIOPIA</dc:creator>
  <cp:keywords/>
  <dc:description/>
  <cp:lastModifiedBy>ETHIOPIA</cp:lastModifiedBy>
  <cp:revision>33</cp:revision>
  <cp:lastPrinted>2020-02-24T22:42:00Z</cp:lastPrinted>
  <dcterms:created xsi:type="dcterms:W3CDTF">2020-01-31T09:50:00Z</dcterms:created>
  <dcterms:modified xsi:type="dcterms:W3CDTF">2020-02-24T23:02:00Z</dcterms:modified>
</cp:coreProperties>
</file>