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655"/>
        <w:gridCol w:w="1621"/>
      </w:tblGrid>
      <w:tr w:rsidR="00202780" w:rsidRPr="00FB02B7" w:rsidTr="007E6BF5">
        <w:tc>
          <w:tcPr>
            <w:tcW w:w="9576" w:type="dxa"/>
            <w:gridSpan w:val="3"/>
            <w:shd w:val="clear" w:color="auto" w:fill="D9D9D9"/>
          </w:tcPr>
          <w:p w:rsidR="00202780" w:rsidRPr="00FB02B7" w:rsidRDefault="00202780" w:rsidP="007E6BF5">
            <w:pPr>
              <w:rPr>
                <w:rFonts w:ascii="Cambria" w:hAnsi="Cambria"/>
                <w:sz w:val="22"/>
                <w:szCs w:val="22"/>
              </w:rPr>
            </w:pPr>
            <w:r w:rsidRPr="00FB02B7">
              <w:rPr>
                <w:rFonts w:ascii="Cambria" w:hAnsi="Cambria" w:cs="Calibri"/>
                <w:b/>
                <w:sz w:val="20"/>
                <w:szCs w:val="20"/>
              </w:rPr>
              <w:t>Course Information</w:t>
            </w:r>
          </w:p>
        </w:tc>
      </w:tr>
      <w:tr w:rsidR="00202780" w:rsidRPr="00FB02B7" w:rsidTr="007E6BF5">
        <w:tc>
          <w:tcPr>
            <w:tcW w:w="2136" w:type="dxa"/>
          </w:tcPr>
          <w:p w:rsidR="00202780" w:rsidRPr="00FB02B7" w:rsidRDefault="00202780" w:rsidP="007E6BF5">
            <w:pPr>
              <w:ind w:right="194"/>
              <w:jc w:val="both"/>
              <w:rPr>
                <w:rFonts w:ascii="Cambria" w:hAnsi="Cambria" w:cs="Calibri"/>
                <w:b/>
                <w:sz w:val="20"/>
                <w:szCs w:val="20"/>
              </w:rPr>
            </w:pPr>
            <w:r w:rsidRPr="00FB02B7">
              <w:rPr>
                <w:rFonts w:ascii="Cambria" w:hAnsi="Cambria" w:cs="Calibri"/>
                <w:b/>
                <w:sz w:val="20"/>
                <w:szCs w:val="20"/>
              </w:rPr>
              <w:t>Course Number</w:t>
            </w:r>
          </w:p>
        </w:tc>
        <w:tc>
          <w:tcPr>
            <w:tcW w:w="7440" w:type="dxa"/>
            <w:gridSpan w:val="2"/>
          </w:tcPr>
          <w:p w:rsidR="00202780" w:rsidRPr="00FB02B7" w:rsidRDefault="00202780" w:rsidP="007E6BF5">
            <w:pPr>
              <w:ind w:right="194"/>
              <w:jc w:val="both"/>
              <w:rPr>
                <w:rFonts w:ascii="Cambria" w:hAnsi="Cambria" w:cs="Calibri"/>
                <w:b/>
                <w:sz w:val="20"/>
                <w:szCs w:val="20"/>
              </w:rPr>
            </w:pPr>
            <w:proofErr w:type="spellStart"/>
            <w:r w:rsidRPr="00FB02B7">
              <w:rPr>
                <w:rFonts w:ascii="Cambria" w:hAnsi="Cambria" w:cs="Calibri"/>
                <w:b/>
                <w:sz w:val="20"/>
                <w:szCs w:val="20"/>
              </w:rPr>
              <w:t>AcFn</w:t>
            </w:r>
            <w:proofErr w:type="spellEnd"/>
            <w:r w:rsidRPr="00FB02B7">
              <w:rPr>
                <w:rFonts w:ascii="Cambria" w:hAnsi="Cambria" w:cs="Calibri"/>
                <w:b/>
                <w:sz w:val="20"/>
                <w:szCs w:val="20"/>
              </w:rPr>
              <w:t xml:space="preserve"> 2082</w:t>
            </w:r>
          </w:p>
        </w:tc>
      </w:tr>
      <w:tr w:rsidR="00202780" w:rsidRPr="00FB02B7" w:rsidTr="007E6BF5">
        <w:tc>
          <w:tcPr>
            <w:tcW w:w="2136" w:type="dxa"/>
          </w:tcPr>
          <w:p w:rsidR="00202780" w:rsidRPr="00FB02B7" w:rsidRDefault="00202780" w:rsidP="007E6BF5">
            <w:pPr>
              <w:ind w:right="194"/>
              <w:jc w:val="both"/>
              <w:rPr>
                <w:rFonts w:ascii="Cambria" w:hAnsi="Cambria" w:cs="Calibri"/>
                <w:b/>
                <w:sz w:val="20"/>
                <w:szCs w:val="20"/>
              </w:rPr>
            </w:pPr>
            <w:r w:rsidRPr="00FB02B7">
              <w:rPr>
                <w:rFonts w:ascii="Cambria" w:hAnsi="Cambria" w:cs="Calibri"/>
                <w:b/>
                <w:sz w:val="20"/>
                <w:szCs w:val="20"/>
              </w:rPr>
              <w:t>Course Title</w:t>
            </w:r>
          </w:p>
        </w:tc>
        <w:tc>
          <w:tcPr>
            <w:tcW w:w="7440" w:type="dxa"/>
            <w:gridSpan w:val="2"/>
          </w:tcPr>
          <w:p w:rsidR="00202780" w:rsidRPr="00FB02B7" w:rsidRDefault="00202780" w:rsidP="007E6BF5">
            <w:pPr>
              <w:ind w:right="194"/>
              <w:jc w:val="both"/>
              <w:rPr>
                <w:rFonts w:ascii="Cambria" w:hAnsi="Cambria" w:cs="Calibri"/>
                <w:b/>
                <w:sz w:val="20"/>
                <w:szCs w:val="20"/>
              </w:rPr>
            </w:pPr>
            <w:r w:rsidRPr="00FB02B7">
              <w:rPr>
                <w:rFonts w:ascii="Cambria" w:hAnsi="Cambria" w:cs="Calibri"/>
                <w:b/>
                <w:sz w:val="20"/>
                <w:szCs w:val="20"/>
              </w:rPr>
              <w:t>Financial Accounting II</w:t>
            </w:r>
          </w:p>
        </w:tc>
      </w:tr>
      <w:tr w:rsidR="00202780" w:rsidRPr="00FB02B7" w:rsidTr="007E6BF5">
        <w:tc>
          <w:tcPr>
            <w:tcW w:w="2136" w:type="dxa"/>
          </w:tcPr>
          <w:p w:rsidR="00202780" w:rsidRPr="00FB02B7" w:rsidRDefault="00202780" w:rsidP="007E6BF5">
            <w:pPr>
              <w:ind w:right="194"/>
              <w:jc w:val="both"/>
              <w:rPr>
                <w:rFonts w:ascii="Cambria" w:hAnsi="Cambria" w:cs="Calibri"/>
                <w:b/>
                <w:sz w:val="20"/>
                <w:szCs w:val="20"/>
              </w:rPr>
            </w:pPr>
            <w:r w:rsidRPr="00FB02B7">
              <w:rPr>
                <w:rFonts w:ascii="Cambria" w:hAnsi="Cambria" w:cs="Calibri"/>
                <w:b/>
                <w:sz w:val="20"/>
                <w:szCs w:val="20"/>
              </w:rPr>
              <w:t>Degree Program</w:t>
            </w:r>
          </w:p>
        </w:tc>
        <w:tc>
          <w:tcPr>
            <w:tcW w:w="7440" w:type="dxa"/>
            <w:gridSpan w:val="2"/>
          </w:tcPr>
          <w:p w:rsidR="00202780" w:rsidRPr="00FB02B7" w:rsidRDefault="00202780" w:rsidP="007E6BF5">
            <w:pPr>
              <w:rPr>
                <w:rFonts w:ascii="Cambria" w:hAnsi="Cambria"/>
                <w:sz w:val="22"/>
                <w:szCs w:val="22"/>
              </w:rPr>
            </w:pPr>
            <w:r w:rsidRPr="00FB02B7">
              <w:rPr>
                <w:rFonts w:ascii="Cambria" w:hAnsi="Cambria"/>
                <w:sz w:val="22"/>
                <w:szCs w:val="22"/>
              </w:rPr>
              <w:t xml:space="preserve">BA Degree in Accounting and Finance </w:t>
            </w:r>
          </w:p>
        </w:tc>
      </w:tr>
      <w:tr w:rsidR="00202780" w:rsidRPr="00FB02B7" w:rsidTr="007E6BF5">
        <w:tc>
          <w:tcPr>
            <w:tcW w:w="2136" w:type="dxa"/>
          </w:tcPr>
          <w:p w:rsidR="00202780" w:rsidRPr="00FB02B7" w:rsidRDefault="00202780" w:rsidP="007E6BF5">
            <w:pPr>
              <w:ind w:right="194"/>
              <w:jc w:val="both"/>
              <w:rPr>
                <w:rFonts w:ascii="Cambria" w:hAnsi="Cambria" w:cs="Calibri"/>
                <w:b/>
                <w:sz w:val="20"/>
                <w:szCs w:val="20"/>
              </w:rPr>
            </w:pPr>
            <w:r w:rsidRPr="00FB02B7">
              <w:rPr>
                <w:rFonts w:ascii="Cambria" w:hAnsi="Cambria" w:cs="Calibri"/>
                <w:b/>
                <w:sz w:val="20"/>
                <w:szCs w:val="20"/>
              </w:rPr>
              <w:t>Module</w:t>
            </w:r>
          </w:p>
        </w:tc>
        <w:tc>
          <w:tcPr>
            <w:tcW w:w="7440" w:type="dxa"/>
            <w:gridSpan w:val="2"/>
          </w:tcPr>
          <w:p w:rsidR="00202780" w:rsidRPr="00FB02B7" w:rsidRDefault="00202780" w:rsidP="007E6BF5">
            <w:pPr>
              <w:rPr>
                <w:rFonts w:ascii="Cambria" w:hAnsi="Cambria"/>
                <w:sz w:val="22"/>
                <w:szCs w:val="22"/>
              </w:rPr>
            </w:pPr>
            <w:r w:rsidRPr="00FB02B7">
              <w:rPr>
                <w:rFonts w:ascii="Cambria" w:hAnsi="Cambria" w:cs="Calibri"/>
                <w:b/>
                <w:sz w:val="16"/>
                <w:szCs w:val="16"/>
              </w:rPr>
              <w:t>Financial accounting and reporting</w:t>
            </w:r>
          </w:p>
        </w:tc>
      </w:tr>
      <w:tr w:rsidR="00202780" w:rsidRPr="00FB02B7" w:rsidTr="007E6BF5">
        <w:tc>
          <w:tcPr>
            <w:tcW w:w="2136" w:type="dxa"/>
          </w:tcPr>
          <w:p w:rsidR="00202780" w:rsidRPr="00FB02B7" w:rsidRDefault="00202780" w:rsidP="007E6BF5">
            <w:pPr>
              <w:ind w:right="194"/>
              <w:jc w:val="both"/>
              <w:rPr>
                <w:rFonts w:ascii="Cambria" w:hAnsi="Cambria" w:cs="Calibri"/>
                <w:b/>
                <w:sz w:val="20"/>
                <w:szCs w:val="20"/>
              </w:rPr>
            </w:pPr>
            <w:r w:rsidRPr="00FB02B7">
              <w:rPr>
                <w:rFonts w:ascii="Cambria" w:hAnsi="Cambria" w:cs="Calibri"/>
                <w:b/>
                <w:sz w:val="20"/>
                <w:szCs w:val="20"/>
              </w:rPr>
              <w:t>Module Coordinator</w:t>
            </w:r>
          </w:p>
        </w:tc>
        <w:tc>
          <w:tcPr>
            <w:tcW w:w="7440" w:type="dxa"/>
            <w:gridSpan w:val="2"/>
          </w:tcPr>
          <w:p w:rsidR="00202780" w:rsidRPr="00FB02B7" w:rsidRDefault="00202780" w:rsidP="007E6BF5">
            <w:pPr>
              <w:rPr>
                <w:rFonts w:ascii="Cambria" w:hAnsi="Cambria"/>
                <w:sz w:val="22"/>
                <w:szCs w:val="22"/>
              </w:rPr>
            </w:pPr>
          </w:p>
        </w:tc>
      </w:tr>
      <w:tr w:rsidR="00202780" w:rsidRPr="00FB02B7" w:rsidTr="007E6BF5">
        <w:tc>
          <w:tcPr>
            <w:tcW w:w="2136" w:type="dxa"/>
          </w:tcPr>
          <w:p w:rsidR="00202780" w:rsidRPr="00FB02B7" w:rsidRDefault="00202780" w:rsidP="007E6BF5">
            <w:pPr>
              <w:ind w:right="194"/>
              <w:jc w:val="both"/>
              <w:rPr>
                <w:rFonts w:ascii="Cambria" w:hAnsi="Cambria" w:cs="Calibri"/>
                <w:b/>
                <w:sz w:val="20"/>
                <w:szCs w:val="20"/>
              </w:rPr>
            </w:pPr>
            <w:r w:rsidRPr="00FB02B7">
              <w:rPr>
                <w:rFonts w:ascii="Cambria" w:hAnsi="Cambria" w:cs="Calibri"/>
                <w:b/>
                <w:sz w:val="20"/>
                <w:szCs w:val="20"/>
              </w:rPr>
              <w:t>Lecturer</w:t>
            </w:r>
          </w:p>
        </w:tc>
        <w:tc>
          <w:tcPr>
            <w:tcW w:w="7440" w:type="dxa"/>
            <w:gridSpan w:val="2"/>
          </w:tcPr>
          <w:p w:rsidR="00202780" w:rsidRPr="00FB02B7" w:rsidRDefault="00202780" w:rsidP="007E6BF5">
            <w:pPr>
              <w:rPr>
                <w:rFonts w:ascii="Cambria" w:hAnsi="Cambria"/>
                <w:sz w:val="22"/>
                <w:szCs w:val="22"/>
              </w:rPr>
            </w:pPr>
          </w:p>
        </w:tc>
      </w:tr>
      <w:tr w:rsidR="00202780" w:rsidRPr="00FB02B7" w:rsidTr="007E6BF5">
        <w:tc>
          <w:tcPr>
            <w:tcW w:w="2136" w:type="dxa"/>
          </w:tcPr>
          <w:p w:rsidR="00202780" w:rsidRPr="00FB02B7" w:rsidRDefault="00202780" w:rsidP="007E6BF5">
            <w:pPr>
              <w:ind w:right="194"/>
              <w:jc w:val="both"/>
              <w:rPr>
                <w:rFonts w:ascii="Cambria" w:hAnsi="Cambria" w:cs="Calibri"/>
                <w:b/>
                <w:sz w:val="20"/>
                <w:szCs w:val="20"/>
              </w:rPr>
            </w:pPr>
            <w:r w:rsidRPr="00FB02B7">
              <w:rPr>
                <w:rFonts w:ascii="Cambria" w:hAnsi="Cambria" w:cs="Calibri"/>
                <w:b/>
                <w:sz w:val="20"/>
                <w:szCs w:val="20"/>
              </w:rPr>
              <w:t>ETCTS Credits</w:t>
            </w:r>
          </w:p>
        </w:tc>
        <w:tc>
          <w:tcPr>
            <w:tcW w:w="7440" w:type="dxa"/>
            <w:gridSpan w:val="2"/>
          </w:tcPr>
          <w:p w:rsidR="00202780" w:rsidRPr="00FB02B7" w:rsidRDefault="00202780" w:rsidP="007E6BF5">
            <w:pPr>
              <w:rPr>
                <w:rFonts w:ascii="Cambria" w:hAnsi="Cambria"/>
                <w:sz w:val="22"/>
                <w:szCs w:val="22"/>
              </w:rPr>
            </w:pPr>
            <w:r w:rsidRPr="00FB02B7">
              <w:rPr>
                <w:rFonts w:ascii="Cambria" w:hAnsi="Cambria"/>
                <w:sz w:val="22"/>
                <w:szCs w:val="22"/>
              </w:rPr>
              <w:t>6</w:t>
            </w:r>
          </w:p>
        </w:tc>
      </w:tr>
      <w:tr w:rsidR="00202780" w:rsidRPr="00FB02B7" w:rsidTr="007E6BF5">
        <w:tc>
          <w:tcPr>
            <w:tcW w:w="2136" w:type="dxa"/>
          </w:tcPr>
          <w:p w:rsidR="00202780" w:rsidRPr="00FB02B7" w:rsidRDefault="00202780" w:rsidP="007E6BF5">
            <w:pPr>
              <w:ind w:right="194"/>
              <w:jc w:val="both"/>
              <w:rPr>
                <w:rFonts w:ascii="Cambria" w:hAnsi="Cambria" w:cs="Calibri"/>
                <w:b/>
                <w:sz w:val="20"/>
                <w:szCs w:val="20"/>
              </w:rPr>
            </w:pPr>
            <w:r w:rsidRPr="00FB02B7">
              <w:rPr>
                <w:rFonts w:ascii="Cambria" w:hAnsi="Cambria" w:cs="Calibri"/>
                <w:b/>
                <w:sz w:val="20"/>
                <w:szCs w:val="20"/>
              </w:rPr>
              <w:t>Contact Hours (per week)</w:t>
            </w:r>
          </w:p>
        </w:tc>
        <w:tc>
          <w:tcPr>
            <w:tcW w:w="7440" w:type="dxa"/>
            <w:gridSpan w:val="2"/>
          </w:tcPr>
          <w:p w:rsidR="00202780" w:rsidRPr="00FB02B7" w:rsidRDefault="00202780" w:rsidP="007E6BF5">
            <w:pPr>
              <w:rPr>
                <w:rFonts w:ascii="Cambria" w:hAnsi="Cambria"/>
                <w:sz w:val="22"/>
                <w:szCs w:val="22"/>
              </w:rPr>
            </w:pPr>
            <w:r w:rsidRPr="00FB02B7">
              <w:rPr>
                <w:rFonts w:ascii="Cambria" w:hAnsi="Cambria"/>
                <w:sz w:val="22"/>
                <w:szCs w:val="22"/>
              </w:rPr>
              <w:t>4</w:t>
            </w:r>
          </w:p>
        </w:tc>
      </w:tr>
      <w:tr w:rsidR="00202780" w:rsidRPr="00FB02B7" w:rsidTr="007E6BF5">
        <w:tc>
          <w:tcPr>
            <w:tcW w:w="2136" w:type="dxa"/>
          </w:tcPr>
          <w:p w:rsidR="00202780" w:rsidRPr="00FB02B7" w:rsidRDefault="00202780" w:rsidP="007E6BF5">
            <w:pPr>
              <w:rPr>
                <w:rFonts w:ascii="Cambria" w:hAnsi="Cambria"/>
                <w:sz w:val="22"/>
                <w:szCs w:val="22"/>
              </w:rPr>
            </w:pPr>
            <w:r w:rsidRPr="00FB02B7">
              <w:rPr>
                <w:rFonts w:ascii="Cambria" w:hAnsi="Cambria" w:cs="Calibri"/>
                <w:b/>
                <w:sz w:val="22"/>
                <w:szCs w:val="22"/>
              </w:rPr>
              <w:t>Course Objectives &amp; Competences to be Acquired</w:t>
            </w:r>
          </w:p>
        </w:tc>
        <w:tc>
          <w:tcPr>
            <w:tcW w:w="7440" w:type="dxa"/>
            <w:gridSpan w:val="2"/>
          </w:tcPr>
          <w:p w:rsidR="00202780" w:rsidRPr="00FB02B7" w:rsidRDefault="00202780" w:rsidP="007E6BF5">
            <w:pPr>
              <w:pStyle w:val="Default"/>
              <w:ind w:right="194"/>
              <w:jc w:val="both"/>
              <w:rPr>
                <w:rFonts w:ascii="Cambria" w:hAnsi="Cambria"/>
                <w:color w:val="auto"/>
              </w:rPr>
            </w:pPr>
            <w:r w:rsidRPr="00FB02B7">
              <w:rPr>
                <w:rFonts w:ascii="Cambria" w:hAnsi="Cambria"/>
                <w:color w:val="auto"/>
              </w:rPr>
              <w:t>The course is designed in such a way that it gives targeted students in – depth understanding of theoretical &amp; Practical framework and principles of financial accounting. The exercises and problems that the students are supposed to workout at the end of each chapter are expected to make the students internalize different business cases which may be similar to cases of real business entities in Ethiopia.</w:t>
            </w:r>
          </w:p>
          <w:p w:rsidR="00202780" w:rsidRPr="00FB02B7" w:rsidRDefault="00202780" w:rsidP="007E6BF5">
            <w:pPr>
              <w:pStyle w:val="Default"/>
              <w:ind w:right="194"/>
              <w:jc w:val="both"/>
              <w:rPr>
                <w:rFonts w:ascii="Cambria" w:hAnsi="Cambria"/>
                <w:color w:val="auto"/>
              </w:rPr>
            </w:pPr>
            <w:r w:rsidRPr="00FB02B7">
              <w:rPr>
                <w:rFonts w:ascii="Cambria" w:hAnsi="Cambria"/>
                <w:color w:val="auto"/>
              </w:rPr>
              <w:t>After completion of the course: Students are expected to:</w:t>
            </w:r>
          </w:p>
          <w:p w:rsidR="00202780" w:rsidRPr="00FB02B7" w:rsidRDefault="00202780" w:rsidP="00202780">
            <w:pPr>
              <w:pStyle w:val="Default"/>
              <w:numPr>
                <w:ilvl w:val="0"/>
                <w:numId w:val="1"/>
              </w:numPr>
              <w:ind w:right="194"/>
              <w:jc w:val="both"/>
              <w:rPr>
                <w:rFonts w:ascii="Cambria" w:hAnsi="Cambria"/>
                <w:color w:val="auto"/>
              </w:rPr>
            </w:pPr>
            <w:r w:rsidRPr="00FB02B7">
              <w:rPr>
                <w:rFonts w:ascii="Cambria" w:hAnsi="Cambria"/>
                <w:color w:val="auto"/>
              </w:rPr>
              <w:t>Acquire advanced knowledge on how to measure and report complex economic events of business enterprise.</w:t>
            </w:r>
          </w:p>
          <w:p w:rsidR="00202780" w:rsidRPr="00FB02B7" w:rsidRDefault="00202780" w:rsidP="00202780">
            <w:pPr>
              <w:pStyle w:val="Default"/>
              <w:numPr>
                <w:ilvl w:val="0"/>
                <w:numId w:val="1"/>
              </w:numPr>
              <w:ind w:right="194"/>
              <w:jc w:val="both"/>
              <w:rPr>
                <w:rFonts w:ascii="Cambria" w:hAnsi="Cambria"/>
                <w:color w:val="auto"/>
              </w:rPr>
            </w:pPr>
            <w:r w:rsidRPr="00FB02B7">
              <w:rPr>
                <w:rFonts w:ascii="Cambria" w:hAnsi="Cambria"/>
                <w:color w:val="auto"/>
              </w:rPr>
              <w:t>Treat cases in financial accounting that would be covered in this course properly, especially in Ethiopian context.</w:t>
            </w:r>
          </w:p>
          <w:p w:rsidR="00202780" w:rsidRPr="00FB02B7" w:rsidRDefault="00202780" w:rsidP="007E6BF5">
            <w:pPr>
              <w:pStyle w:val="Default"/>
              <w:ind w:left="185" w:right="194"/>
              <w:jc w:val="both"/>
              <w:rPr>
                <w:rFonts w:ascii="Cambria" w:hAnsi="Cambria"/>
                <w:color w:val="auto"/>
              </w:rPr>
            </w:pPr>
          </w:p>
        </w:tc>
      </w:tr>
      <w:tr w:rsidR="00202780" w:rsidRPr="00FB02B7" w:rsidTr="007E6BF5">
        <w:tc>
          <w:tcPr>
            <w:tcW w:w="2136" w:type="dxa"/>
          </w:tcPr>
          <w:p w:rsidR="00202780" w:rsidRPr="00FB02B7" w:rsidRDefault="00202780" w:rsidP="007E6BF5">
            <w:pPr>
              <w:rPr>
                <w:rFonts w:ascii="Cambria" w:hAnsi="Cambria"/>
                <w:sz w:val="22"/>
                <w:szCs w:val="22"/>
              </w:rPr>
            </w:pPr>
            <w:r w:rsidRPr="00FB02B7">
              <w:rPr>
                <w:rFonts w:ascii="Cambria" w:hAnsi="Cambria" w:cs="Calibri"/>
                <w:b/>
                <w:sz w:val="22"/>
                <w:szCs w:val="22"/>
              </w:rPr>
              <w:t>Course Description</w:t>
            </w:r>
          </w:p>
        </w:tc>
        <w:tc>
          <w:tcPr>
            <w:tcW w:w="7440" w:type="dxa"/>
            <w:gridSpan w:val="2"/>
          </w:tcPr>
          <w:p w:rsidR="00202780" w:rsidRPr="00FB02B7" w:rsidRDefault="00202780" w:rsidP="007E6BF5">
            <w:pPr>
              <w:jc w:val="both"/>
              <w:rPr>
                <w:rFonts w:ascii="Cambria" w:hAnsi="Cambria"/>
                <w:sz w:val="22"/>
                <w:szCs w:val="22"/>
              </w:rPr>
            </w:pPr>
            <w:r w:rsidRPr="00FB02B7">
              <w:rPr>
                <w:rFonts w:ascii="Cambria" w:hAnsi="Cambria"/>
                <w:sz w:val="22"/>
                <w:szCs w:val="22"/>
              </w:rPr>
              <w:t>This course is the continuation of Financial Accounting – I. It is one of the core accounting courses offered by the department. Like the first part, it is basically deals with theory of financial accounting for business organization. It also tries to introduce students with the financial accounting applications in the Ethiopian business environment. Topics included are: inventories, long term investment, debts and current liabilities.</w:t>
            </w:r>
          </w:p>
        </w:tc>
      </w:tr>
      <w:tr w:rsidR="00202780" w:rsidRPr="00FB02B7" w:rsidTr="007E6BF5">
        <w:tc>
          <w:tcPr>
            <w:tcW w:w="2136" w:type="dxa"/>
          </w:tcPr>
          <w:p w:rsidR="00202780" w:rsidRPr="00FB02B7" w:rsidRDefault="00202780" w:rsidP="007E6BF5">
            <w:pPr>
              <w:ind w:right="194"/>
              <w:jc w:val="both"/>
              <w:rPr>
                <w:rFonts w:ascii="Cambria" w:hAnsi="Cambria"/>
                <w:sz w:val="22"/>
                <w:szCs w:val="22"/>
              </w:rPr>
            </w:pPr>
            <w:r w:rsidRPr="00FB02B7">
              <w:rPr>
                <w:rFonts w:ascii="Cambria" w:hAnsi="Cambria" w:cs="Calibri"/>
                <w:b/>
                <w:sz w:val="22"/>
                <w:szCs w:val="22"/>
              </w:rPr>
              <w:t>WEEKS</w:t>
            </w:r>
          </w:p>
        </w:tc>
        <w:tc>
          <w:tcPr>
            <w:tcW w:w="5572" w:type="dxa"/>
          </w:tcPr>
          <w:p w:rsidR="00202780" w:rsidRPr="00FB02B7" w:rsidRDefault="00202780" w:rsidP="007E6BF5">
            <w:pPr>
              <w:rPr>
                <w:rFonts w:ascii="Cambria" w:hAnsi="Cambria"/>
                <w:sz w:val="22"/>
                <w:szCs w:val="22"/>
              </w:rPr>
            </w:pPr>
            <w:r w:rsidRPr="00FB02B7">
              <w:rPr>
                <w:rFonts w:ascii="Cambria" w:hAnsi="Cambria" w:cs="Calibri"/>
                <w:b/>
                <w:sz w:val="22"/>
                <w:szCs w:val="22"/>
              </w:rPr>
              <w:t>Course Contents</w:t>
            </w:r>
          </w:p>
        </w:tc>
        <w:tc>
          <w:tcPr>
            <w:tcW w:w="1868" w:type="dxa"/>
          </w:tcPr>
          <w:p w:rsidR="00202780" w:rsidRPr="00FB02B7" w:rsidRDefault="00202780" w:rsidP="007E6BF5">
            <w:pPr>
              <w:rPr>
                <w:rFonts w:ascii="Cambria" w:hAnsi="Cambria"/>
                <w:sz w:val="22"/>
                <w:szCs w:val="22"/>
              </w:rPr>
            </w:pPr>
            <w:r w:rsidRPr="00FB02B7">
              <w:rPr>
                <w:rFonts w:ascii="Cambria" w:hAnsi="Cambria" w:cs="Calibri"/>
                <w:b/>
                <w:sz w:val="20"/>
                <w:szCs w:val="20"/>
              </w:rPr>
              <w:t>Reading</w:t>
            </w:r>
          </w:p>
        </w:tc>
      </w:tr>
      <w:tr w:rsidR="00202780" w:rsidRPr="00FB02B7" w:rsidTr="007E6BF5">
        <w:tc>
          <w:tcPr>
            <w:tcW w:w="2136" w:type="dxa"/>
            <w:shd w:val="clear" w:color="auto" w:fill="auto"/>
          </w:tcPr>
          <w:p w:rsidR="00202780" w:rsidRPr="00FB02B7" w:rsidRDefault="00202780" w:rsidP="007E6BF5">
            <w:pPr>
              <w:rPr>
                <w:rFonts w:ascii="Cambria" w:hAnsi="Cambria"/>
                <w:sz w:val="22"/>
                <w:szCs w:val="22"/>
              </w:rPr>
            </w:pPr>
          </w:p>
        </w:tc>
        <w:tc>
          <w:tcPr>
            <w:tcW w:w="5572" w:type="dxa"/>
            <w:shd w:val="clear" w:color="auto" w:fill="auto"/>
          </w:tcPr>
          <w:p w:rsidR="00202780" w:rsidRPr="00FB02B7" w:rsidRDefault="00202780" w:rsidP="00202780">
            <w:pPr>
              <w:pStyle w:val="ListParagraph"/>
              <w:numPr>
                <w:ilvl w:val="0"/>
                <w:numId w:val="2"/>
              </w:numPr>
              <w:ind w:right="194"/>
              <w:jc w:val="both"/>
              <w:rPr>
                <w:rFonts w:ascii="Cambria" w:hAnsi="Cambria" w:cs="Calibri"/>
                <w:sz w:val="22"/>
                <w:szCs w:val="22"/>
                <w:lang w:val="en-US" w:eastAsia="en-US"/>
              </w:rPr>
            </w:pPr>
            <w:r w:rsidRPr="00FB02B7">
              <w:rPr>
                <w:rFonts w:ascii="Cambria" w:hAnsi="Cambria" w:cs="Calibri"/>
                <w:sz w:val="22"/>
                <w:szCs w:val="22"/>
                <w:lang w:val="en-US" w:eastAsia="en-US"/>
              </w:rPr>
              <w:t>Property, Plant, and Equipment</w:t>
            </w:r>
          </w:p>
          <w:p w:rsidR="00202780" w:rsidRPr="00FB02B7" w:rsidRDefault="00202780" w:rsidP="00202780">
            <w:pPr>
              <w:pStyle w:val="ListParagraph"/>
              <w:numPr>
                <w:ilvl w:val="1"/>
                <w:numId w:val="2"/>
              </w:numPr>
              <w:ind w:left="882"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 xml:space="preserve"> Characteristics of Property, plant, and equipment</w:t>
            </w:r>
          </w:p>
          <w:p w:rsidR="00202780" w:rsidRPr="00FB02B7" w:rsidRDefault="00202780" w:rsidP="00202780">
            <w:pPr>
              <w:pStyle w:val="ListParagraph"/>
              <w:numPr>
                <w:ilvl w:val="1"/>
                <w:numId w:val="2"/>
              </w:numPr>
              <w:ind w:left="882"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 xml:space="preserve"> Acquisition cost of PPE</w:t>
            </w:r>
          </w:p>
          <w:p w:rsidR="00202780" w:rsidRPr="00FB02B7" w:rsidRDefault="00202780" w:rsidP="00202780">
            <w:pPr>
              <w:pStyle w:val="ListParagraph"/>
              <w:numPr>
                <w:ilvl w:val="1"/>
                <w:numId w:val="2"/>
              </w:numPr>
              <w:ind w:left="882"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 xml:space="preserve"> Valuation of PPE</w:t>
            </w:r>
          </w:p>
          <w:p w:rsidR="00202780" w:rsidRPr="00FB02B7" w:rsidRDefault="00202780" w:rsidP="00202780">
            <w:pPr>
              <w:pStyle w:val="ListParagraph"/>
              <w:numPr>
                <w:ilvl w:val="1"/>
                <w:numId w:val="2"/>
              </w:numPr>
              <w:ind w:left="882"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 xml:space="preserve"> Treatment of costs incurred subsequent to acquisition</w:t>
            </w:r>
          </w:p>
          <w:p w:rsidR="00202780" w:rsidRPr="00FB02B7" w:rsidRDefault="00202780" w:rsidP="00202780">
            <w:pPr>
              <w:pStyle w:val="ListParagraph"/>
              <w:numPr>
                <w:ilvl w:val="1"/>
                <w:numId w:val="2"/>
              </w:numPr>
              <w:ind w:left="882"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Depreciation and Depletion</w:t>
            </w:r>
          </w:p>
          <w:p w:rsidR="00202780" w:rsidRPr="00FB02B7" w:rsidRDefault="00202780" w:rsidP="00202780">
            <w:pPr>
              <w:pStyle w:val="ListParagraph"/>
              <w:numPr>
                <w:ilvl w:val="1"/>
                <w:numId w:val="2"/>
              </w:numPr>
              <w:ind w:left="882"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 xml:space="preserve"> Disposition of PPE</w:t>
            </w:r>
          </w:p>
          <w:p w:rsidR="00202780" w:rsidRPr="00FB02B7" w:rsidRDefault="00202780" w:rsidP="00202780">
            <w:pPr>
              <w:pStyle w:val="ListParagraph"/>
              <w:numPr>
                <w:ilvl w:val="1"/>
                <w:numId w:val="2"/>
              </w:numPr>
              <w:ind w:left="882"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Types of intangible assets</w:t>
            </w:r>
          </w:p>
          <w:p w:rsidR="00202780" w:rsidRPr="00FB02B7" w:rsidRDefault="00202780" w:rsidP="00202780">
            <w:pPr>
              <w:pStyle w:val="ListParagraph"/>
              <w:numPr>
                <w:ilvl w:val="1"/>
                <w:numId w:val="2"/>
              </w:numPr>
              <w:ind w:left="882"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Impairment of intangible assets</w:t>
            </w:r>
          </w:p>
          <w:p w:rsidR="00202780" w:rsidRPr="00FB02B7" w:rsidRDefault="00202780" w:rsidP="00202780">
            <w:pPr>
              <w:pStyle w:val="ListParagraph"/>
              <w:numPr>
                <w:ilvl w:val="1"/>
                <w:numId w:val="2"/>
              </w:numPr>
              <w:ind w:left="882" w:right="194" w:hanging="457"/>
              <w:jc w:val="both"/>
              <w:rPr>
                <w:rFonts w:ascii="Cambria" w:hAnsi="Cambria"/>
                <w:sz w:val="22"/>
                <w:szCs w:val="22"/>
                <w:lang w:val="en-US" w:eastAsia="en-US"/>
              </w:rPr>
            </w:pPr>
            <w:r w:rsidRPr="00FB02B7">
              <w:rPr>
                <w:rFonts w:ascii="Cambria" w:hAnsi="Cambria" w:cs="Calibri"/>
                <w:sz w:val="22"/>
                <w:szCs w:val="22"/>
                <w:lang w:val="en-US" w:eastAsia="en-US"/>
              </w:rPr>
              <w:t xml:space="preserve"> R&amp;D costs</w:t>
            </w:r>
          </w:p>
        </w:tc>
        <w:tc>
          <w:tcPr>
            <w:tcW w:w="1868" w:type="dxa"/>
            <w:shd w:val="clear" w:color="auto" w:fill="auto"/>
          </w:tcPr>
          <w:p w:rsidR="00202780" w:rsidRPr="00FB02B7" w:rsidRDefault="00202780" w:rsidP="007E6BF5">
            <w:pPr>
              <w:rPr>
                <w:rFonts w:ascii="Cambria" w:hAnsi="Cambria"/>
                <w:sz w:val="22"/>
                <w:szCs w:val="22"/>
              </w:rPr>
            </w:pPr>
          </w:p>
        </w:tc>
      </w:tr>
      <w:tr w:rsidR="00202780" w:rsidRPr="00FB02B7" w:rsidTr="007E6BF5">
        <w:tc>
          <w:tcPr>
            <w:tcW w:w="2136" w:type="dxa"/>
            <w:shd w:val="clear" w:color="auto" w:fill="auto"/>
          </w:tcPr>
          <w:p w:rsidR="00202780" w:rsidRPr="00FB02B7" w:rsidRDefault="00202780" w:rsidP="007E6BF5">
            <w:pPr>
              <w:rPr>
                <w:rFonts w:ascii="Cambria" w:hAnsi="Cambria"/>
                <w:sz w:val="22"/>
                <w:szCs w:val="22"/>
              </w:rPr>
            </w:pPr>
          </w:p>
        </w:tc>
        <w:tc>
          <w:tcPr>
            <w:tcW w:w="5572" w:type="dxa"/>
            <w:shd w:val="clear" w:color="auto" w:fill="auto"/>
          </w:tcPr>
          <w:p w:rsidR="00202780" w:rsidRPr="00FB02B7" w:rsidRDefault="00202780" w:rsidP="00202780">
            <w:pPr>
              <w:pStyle w:val="ListParagraph"/>
              <w:numPr>
                <w:ilvl w:val="0"/>
                <w:numId w:val="2"/>
              </w:numPr>
              <w:ind w:right="194"/>
              <w:jc w:val="both"/>
              <w:rPr>
                <w:rFonts w:ascii="Cambria" w:hAnsi="Cambria" w:cs="Calibri"/>
                <w:b/>
                <w:sz w:val="22"/>
                <w:szCs w:val="22"/>
                <w:lang w:val="en-US" w:eastAsia="en-US"/>
              </w:rPr>
            </w:pPr>
            <w:r w:rsidRPr="00FB02B7">
              <w:rPr>
                <w:rFonts w:ascii="Cambria" w:hAnsi="Cambria" w:cs="Calibri"/>
                <w:b/>
                <w:sz w:val="22"/>
                <w:szCs w:val="22"/>
                <w:lang w:val="en-US" w:eastAsia="en-US"/>
              </w:rPr>
              <w:t>Current Liabilities, Provisions, and Contingencies</w:t>
            </w:r>
          </w:p>
          <w:p w:rsidR="00202780" w:rsidRPr="00FB02B7" w:rsidRDefault="00202780" w:rsidP="00202780">
            <w:pPr>
              <w:pStyle w:val="ListParagraph"/>
              <w:numPr>
                <w:ilvl w:val="1"/>
                <w:numId w:val="2"/>
              </w:numPr>
              <w:ind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Nature and Types of current liabilities</w:t>
            </w:r>
          </w:p>
          <w:p w:rsidR="00202780" w:rsidRPr="00FB02B7" w:rsidRDefault="00202780" w:rsidP="00202780">
            <w:pPr>
              <w:pStyle w:val="ListParagraph"/>
              <w:numPr>
                <w:ilvl w:val="1"/>
                <w:numId w:val="2"/>
              </w:numPr>
              <w:ind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Recognition and measurement of current liabilities</w:t>
            </w:r>
          </w:p>
          <w:p w:rsidR="00202780" w:rsidRPr="00FB02B7" w:rsidRDefault="00202780" w:rsidP="00202780">
            <w:pPr>
              <w:pStyle w:val="ListParagraph"/>
              <w:numPr>
                <w:ilvl w:val="1"/>
                <w:numId w:val="2"/>
              </w:numPr>
              <w:ind w:right="194" w:hanging="457"/>
              <w:jc w:val="both"/>
              <w:rPr>
                <w:rFonts w:ascii="Cambria" w:hAnsi="Cambria"/>
                <w:sz w:val="22"/>
                <w:szCs w:val="22"/>
                <w:lang w:val="en-US" w:eastAsia="en-US"/>
              </w:rPr>
            </w:pPr>
            <w:r w:rsidRPr="00FB02B7">
              <w:rPr>
                <w:rFonts w:ascii="Cambria" w:hAnsi="Cambria" w:cs="Calibri"/>
                <w:sz w:val="22"/>
                <w:szCs w:val="22"/>
                <w:lang w:val="en-US" w:eastAsia="en-US"/>
              </w:rPr>
              <w:t>Contingencies</w:t>
            </w:r>
          </w:p>
          <w:p w:rsidR="00202780" w:rsidRPr="00FB02B7" w:rsidRDefault="00202780" w:rsidP="00202780">
            <w:pPr>
              <w:pStyle w:val="ListParagraph"/>
              <w:numPr>
                <w:ilvl w:val="1"/>
                <w:numId w:val="2"/>
              </w:numPr>
              <w:ind w:right="194" w:hanging="457"/>
              <w:jc w:val="both"/>
              <w:rPr>
                <w:rFonts w:ascii="Cambria" w:hAnsi="Cambria"/>
                <w:sz w:val="22"/>
                <w:szCs w:val="22"/>
                <w:lang w:val="en-US" w:eastAsia="en-US"/>
              </w:rPr>
            </w:pPr>
            <w:r w:rsidRPr="00FB02B7">
              <w:rPr>
                <w:rFonts w:ascii="Cambria" w:hAnsi="Cambria" w:cs="Calibri"/>
                <w:sz w:val="22"/>
                <w:szCs w:val="22"/>
                <w:lang w:val="en-US" w:eastAsia="en-US"/>
              </w:rPr>
              <w:t>Presentation of current liabilities</w:t>
            </w:r>
          </w:p>
        </w:tc>
        <w:tc>
          <w:tcPr>
            <w:tcW w:w="1868" w:type="dxa"/>
            <w:shd w:val="clear" w:color="auto" w:fill="auto"/>
          </w:tcPr>
          <w:p w:rsidR="00202780" w:rsidRPr="00FB02B7" w:rsidRDefault="00202780" w:rsidP="007E6BF5">
            <w:pPr>
              <w:rPr>
                <w:rFonts w:ascii="Cambria" w:hAnsi="Cambria"/>
                <w:sz w:val="22"/>
                <w:szCs w:val="22"/>
              </w:rPr>
            </w:pPr>
          </w:p>
        </w:tc>
      </w:tr>
      <w:tr w:rsidR="00202780" w:rsidRPr="00FB02B7" w:rsidTr="007E6BF5">
        <w:tc>
          <w:tcPr>
            <w:tcW w:w="2136" w:type="dxa"/>
            <w:shd w:val="clear" w:color="auto" w:fill="auto"/>
          </w:tcPr>
          <w:p w:rsidR="00202780" w:rsidRPr="00FB02B7" w:rsidRDefault="00202780" w:rsidP="007E6BF5">
            <w:pPr>
              <w:rPr>
                <w:rFonts w:ascii="Cambria" w:hAnsi="Cambria"/>
                <w:sz w:val="22"/>
                <w:szCs w:val="22"/>
              </w:rPr>
            </w:pPr>
          </w:p>
        </w:tc>
        <w:tc>
          <w:tcPr>
            <w:tcW w:w="5572" w:type="dxa"/>
            <w:shd w:val="clear" w:color="auto" w:fill="auto"/>
          </w:tcPr>
          <w:p w:rsidR="00202780" w:rsidRPr="00FB02B7" w:rsidRDefault="00202780" w:rsidP="00202780">
            <w:pPr>
              <w:pStyle w:val="ListParagraph"/>
              <w:numPr>
                <w:ilvl w:val="0"/>
                <w:numId w:val="2"/>
              </w:numPr>
              <w:ind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Non-Current Liabilities</w:t>
            </w:r>
          </w:p>
          <w:p w:rsidR="00202780" w:rsidRPr="00FB02B7" w:rsidRDefault="00202780" w:rsidP="00202780">
            <w:pPr>
              <w:pStyle w:val="ListParagraph"/>
              <w:numPr>
                <w:ilvl w:val="1"/>
                <w:numId w:val="2"/>
              </w:numPr>
              <w:ind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Nature of long-term debt</w:t>
            </w:r>
          </w:p>
          <w:p w:rsidR="00202780" w:rsidRPr="00FB02B7" w:rsidRDefault="00202780" w:rsidP="00202780">
            <w:pPr>
              <w:pStyle w:val="ListParagraph"/>
              <w:numPr>
                <w:ilvl w:val="1"/>
                <w:numId w:val="2"/>
              </w:numPr>
              <w:ind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Types of bonds</w:t>
            </w:r>
          </w:p>
          <w:p w:rsidR="00202780" w:rsidRPr="00FB02B7" w:rsidRDefault="00202780" w:rsidP="00202780">
            <w:pPr>
              <w:pStyle w:val="ListParagraph"/>
              <w:numPr>
                <w:ilvl w:val="1"/>
                <w:numId w:val="2"/>
              </w:numPr>
              <w:ind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 xml:space="preserve"> Accounting for term bonds</w:t>
            </w:r>
          </w:p>
          <w:p w:rsidR="00202780" w:rsidRPr="00FB02B7" w:rsidRDefault="00202780" w:rsidP="00202780">
            <w:pPr>
              <w:pStyle w:val="ListParagraph"/>
              <w:numPr>
                <w:ilvl w:val="1"/>
                <w:numId w:val="2"/>
              </w:numPr>
              <w:ind w:right="194" w:hanging="457"/>
              <w:jc w:val="both"/>
              <w:rPr>
                <w:rFonts w:ascii="Cambria" w:hAnsi="Cambria"/>
                <w:sz w:val="22"/>
                <w:szCs w:val="22"/>
                <w:lang w:val="en-US" w:eastAsia="en-US"/>
              </w:rPr>
            </w:pPr>
            <w:r w:rsidRPr="00FB02B7">
              <w:rPr>
                <w:rFonts w:ascii="Cambria" w:hAnsi="Cambria" w:cs="Calibri"/>
                <w:sz w:val="22"/>
                <w:szCs w:val="22"/>
                <w:lang w:val="en-US" w:eastAsia="en-US"/>
              </w:rPr>
              <w:t xml:space="preserve"> Accounting for serial bonds</w:t>
            </w:r>
          </w:p>
          <w:p w:rsidR="00202780" w:rsidRPr="00FB02B7" w:rsidRDefault="00202780" w:rsidP="00202780">
            <w:pPr>
              <w:pStyle w:val="ListParagraph"/>
              <w:numPr>
                <w:ilvl w:val="1"/>
                <w:numId w:val="2"/>
              </w:numPr>
              <w:ind w:right="194" w:hanging="457"/>
              <w:jc w:val="both"/>
              <w:rPr>
                <w:rFonts w:ascii="Cambria" w:hAnsi="Cambria"/>
                <w:sz w:val="22"/>
                <w:szCs w:val="22"/>
                <w:lang w:val="en-US" w:eastAsia="en-US"/>
              </w:rPr>
            </w:pPr>
            <w:r w:rsidRPr="00FB02B7">
              <w:rPr>
                <w:rFonts w:ascii="Cambria" w:hAnsi="Cambria" w:cs="Calibri"/>
                <w:sz w:val="22"/>
                <w:szCs w:val="22"/>
                <w:lang w:val="en-US" w:eastAsia="en-US"/>
              </w:rPr>
              <w:t>Extinguishment of  Long-Term Debt</w:t>
            </w:r>
          </w:p>
        </w:tc>
        <w:tc>
          <w:tcPr>
            <w:tcW w:w="1868" w:type="dxa"/>
            <w:shd w:val="clear" w:color="auto" w:fill="auto"/>
          </w:tcPr>
          <w:p w:rsidR="00202780" w:rsidRPr="00FB02B7" w:rsidRDefault="00202780" w:rsidP="007E6BF5">
            <w:pPr>
              <w:rPr>
                <w:rFonts w:ascii="Cambria" w:hAnsi="Cambria"/>
                <w:sz w:val="22"/>
                <w:szCs w:val="22"/>
              </w:rPr>
            </w:pPr>
          </w:p>
        </w:tc>
      </w:tr>
      <w:tr w:rsidR="00202780" w:rsidRPr="00FB02B7" w:rsidTr="007E6BF5">
        <w:tc>
          <w:tcPr>
            <w:tcW w:w="2136" w:type="dxa"/>
            <w:shd w:val="clear" w:color="auto" w:fill="auto"/>
          </w:tcPr>
          <w:p w:rsidR="00202780" w:rsidRPr="00FB02B7" w:rsidRDefault="00202780" w:rsidP="007E6BF5">
            <w:pPr>
              <w:rPr>
                <w:rFonts w:ascii="Cambria" w:hAnsi="Cambria"/>
                <w:sz w:val="22"/>
                <w:szCs w:val="22"/>
              </w:rPr>
            </w:pPr>
          </w:p>
        </w:tc>
        <w:tc>
          <w:tcPr>
            <w:tcW w:w="5572" w:type="dxa"/>
            <w:shd w:val="clear" w:color="auto" w:fill="auto"/>
          </w:tcPr>
          <w:p w:rsidR="00202780" w:rsidRPr="00FB02B7" w:rsidRDefault="00202780" w:rsidP="00202780">
            <w:pPr>
              <w:pStyle w:val="ListParagraph"/>
              <w:numPr>
                <w:ilvl w:val="0"/>
                <w:numId w:val="2"/>
              </w:numPr>
              <w:ind w:right="194"/>
              <w:jc w:val="both"/>
              <w:rPr>
                <w:rFonts w:ascii="Cambria" w:hAnsi="Cambria" w:cs="Calibri"/>
                <w:sz w:val="22"/>
                <w:szCs w:val="22"/>
                <w:lang w:val="en-US" w:eastAsia="en-US"/>
              </w:rPr>
            </w:pPr>
            <w:r w:rsidRPr="00FB02B7">
              <w:rPr>
                <w:rFonts w:ascii="Cambria" w:hAnsi="Cambria" w:cs="Calibri"/>
                <w:sz w:val="22"/>
                <w:szCs w:val="22"/>
                <w:lang w:val="en-US" w:eastAsia="en-US"/>
              </w:rPr>
              <w:t>Accounting for Investments in equity and debt securities</w:t>
            </w:r>
          </w:p>
          <w:p w:rsidR="00202780" w:rsidRPr="00FB02B7" w:rsidRDefault="00202780" w:rsidP="00202780">
            <w:pPr>
              <w:pStyle w:val="ListParagraph"/>
              <w:numPr>
                <w:ilvl w:val="1"/>
                <w:numId w:val="2"/>
              </w:numPr>
              <w:ind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Accounting for short-term investments in equity and debt securities</w:t>
            </w:r>
          </w:p>
          <w:p w:rsidR="00202780" w:rsidRPr="00FB02B7" w:rsidRDefault="00202780" w:rsidP="00202780">
            <w:pPr>
              <w:pStyle w:val="ListParagraph"/>
              <w:numPr>
                <w:ilvl w:val="1"/>
                <w:numId w:val="2"/>
              </w:numPr>
              <w:ind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 xml:space="preserve">Nature of Long-Term Investments </w:t>
            </w:r>
          </w:p>
          <w:p w:rsidR="00202780" w:rsidRPr="00FB02B7" w:rsidRDefault="00202780" w:rsidP="00202780">
            <w:pPr>
              <w:pStyle w:val="ListParagraph"/>
              <w:numPr>
                <w:ilvl w:val="1"/>
                <w:numId w:val="2"/>
              </w:numPr>
              <w:ind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 xml:space="preserve">Long-Term Investments in Common stock </w:t>
            </w:r>
          </w:p>
          <w:p w:rsidR="00202780" w:rsidRPr="00FB02B7" w:rsidRDefault="00202780" w:rsidP="00202780">
            <w:pPr>
              <w:pStyle w:val="ListParagraph"/>
              <w:numPr>
                <w:ilvl w:val="1"/>
                <w:numId w:val="2"/>
              </w:numPr>
              <w:ind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 xml:space="preserve">Long-Term investments in Bonds </w:t>
            </w:r>
          </w:p>
          <w:p w:rsidR="00202780" w:rsidRPr="00FB02B7" w:rsidRDefault="00202780" w:rsidP="00202780">
            <w:pPr>
              <w:pStyle w:val="ListParagraph"/>
              <w:numPr>
                <w:ilvl w:val="1"/>
                <w:numId w:val="2"/>
              </w:numPr>
              <w:ind w:right="194" w:hanging="457"/>
              <w:jc w:val="both"/>
              <w:rPr>
                <w:rFonts w:ascii="Cambria" w:hAnsi="Cambria"/>
                <w:sz w:val="22"/>
                <w:szCs w:val="22"/>
                <w:lang w:val="en-US" w:eastAsia="en-US"/>
              </w:rPr>
            </w:pPr>
            <w:r w:rsidRPr="00FB02B7">
              <w:rPr>
                <w:rFonts w:ascii="Cambria" w:hAnsi="Cambria" w:cs="Calibri"/>
                <w:sz w:val="22"/>
                <w:szCs w:val="22"/>
                <w:lang w:val="en-US" w:eastAsia="en-US"/>
              </w:rPr>
              <w:t xml:space="preserve">Special problems in Accounting for Long-Term Investments in Securities </w:t>
            </w:r>
          </w:p>
          <w:p w:rsidR="00202780" w:rsidRPr="00FB02B7" w:rsidRDefault="00202780" w:rsidP="00202780">
            <w:pPr>
              <w:pStyle w:val="ListParagraph"/>
              <w:numPr>
                <w:ilvl w:val="1"/>
                <w:numId w:val="2"/>
              </w:numPr>
              <w:ind w:right="194" w:hanging="457"/>
              <w:jc w:val="both"/>
              <w:rPr>
                <w:rFonts w:ascii="Cambria" w:hAnsi="Cambria"/>
                <w:sz w:val="22"/>
                <w:szCs w:val="22"/>
                <w:lang w:val="en-US" w:eastAsia="en-US"/>
              </w:rPr>
            </w:pPr>
            <w:r w:rsidRPr="00FB02B7">
              <w:rPr>
                <w:rFonts w:ascii="Cambria" w:hAnsi="Cambria" w:cs="Calibri"/>
                <w:sz w:val="22"/>
                <w:szCs w:val="22"/>
                <w:lang w:val="en-US" w:eastAsia="en-US"/>
              </w:rPr>
              <w:t>Other Long</w:t>
            </w:r>
            <w:r w:rsidRPr="00FB02B7">
              <w:rPr>
                <w:rFonts w:ascii="Cambria" w:hAnsi="Cambria" w:cs="Calibri"/>
                <w:sz w:val="22"/>
                <w:szCs w:val="22"/>
                <w:lang w:val="pt-BR" w:eastAsia="en-US"/>
              </w:rPr>
              <w:t xml:space="preserve"> -Term investments</w:t>
            </w:r>
          </w:p>
        </w:tc>
        <w:tc>
          <w:tcPr>
            <w:tcW w:w="1868" w:type="dxa"/>
            <w:shd w:val="clear" w:color="auto" w:fill="auto"/>
          </w:tcPr>
          <w:p w:rsidR="00202780" w:rsidRPr="00FB02B7" w:rsidRDefault="00202780" w:rsidP="007E6BF5">
            <w:pPr>
              <w:rPr>
                <w:rFonts w:ascii="Cambria" w:hAnsi="Cambria"/>
                <w:sz w:val="22"/>
                <w:szCs w:val="22"/>
              </w:rPr>
            </w:pPr>
          </w:p>
        </w:tc>
      </w:tr>
      <w:tr w:rsidR="00202780" w:rsidRPr="00FB02B7" w:rsidTr="007E6BF5">
        <w:tc>
          <w:tcPr>
            <w:tcW w:w="2136" w:type="dxa"/>
          </w:tcPr>
          <w:p w:rsidR="00202780" w:rsidRPr="00FB02B7" w:rsidRDefault="00202780" w:rsidP="007E6BF5">
            <w:pPr>
              <w:rPr>
                <w:rFonts w:ascii="Cambria" w:hAnsi="Cambria"/>
                <w:sz w:val="22"/>
                <w:szCs w:val="22"/>
              </w:rPr>
            </w:pPr>
          </w:p>
        </w:tc>
        <w:tc>
          <w:tcPr>
            <w:tcW w:w="5572" w:type="dxa"/>
          </w:tcPr>
          <w:p w:rsidR="00202780" w:rsidRPr="00FB02B7" w:rsidRDefault="00202780" w:rsidP="00202780">
            <w:pPr>
              <w:pStyle w:val="ListParagraph"/>
              <w:numPr>
                <w:ilvl w:val="0"/>
                <w:numId w:val="2"/>
              </w:numPr>
              <w:ind w:right="194"/>
              <w:jc w:val="both"/>
              <w:rPr>
                <w:rFonts w:ascii="Cambria" w:hAnsi="Cambria" w:cs="Calibri"/>
                <w:sz w:val="22"/>
                <w:szCs w:val="22"/>
                <w:lang w:val="en-US" w:eastAsia="en-US"/>
              </w:rPr>
            </w:pPr>
            <w:r w:rsidRPr="00FB02B7">
              <w:rPr>
                <w:rFonts w:ascii="Cambria" w:hAnsi="Cambria" w:cs="Calibri"/>
                <w:sz w:val="22"/>
                <w:szCs w:val="22"/>
                <w:lang w:val="en-US" w:eastAsia="en-US"/>
              </w:rPr>
              <w:t>Shareholders’ Equity</w:t>
            </w:r>
          </w:p>
          <w:p w:rsidR="00202780" w:rsidRPr="00FB02B7" w:rsidRDefault="00202780" w:rsidP="00202780">
            <w:pPr>
              <w:pStyle w:val="ListParagraph"/>
              <w:numPr>
                <w:ilvl w:val="1"/>
                <w:numId w:val="2"/>
              </w:numPr>
              <w:ind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 xml:space="preserve"> Overview of Ethiopian company law</w:t>
            </w:r>
          </w:p>
          <w:p w:rsidR="00202780" w:rsidRPr="00FB02B7" w:rsidRDefault="00202780" w:rsidP="00202780">
            <w:pPr>
              <w:pStyle w:val="ListParagraph"/>
              <w:numPr>
                <w:ilvl w:val="1"/>
                <w:numId w:val="2"/>
              </w:numPr>
              <w:ind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 xml:space="preserve"> Types of shares (stocks)</w:t>
            </w:r>
          </w:p>
          <w:p w:rsidR="00202780" w:rsidRPr="00FB02B7" w:rsidRDefault="00202780" w:rsidP="00202780">
            <w:pPr>
              <w:pStyle w:val="ListParagraph"/>
              <w:numPr>
                <w:ilvl w:val="1"/>
                <w:numId w:val="2"/>
              </w:numPr>
              <w:ind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 xml:space="preserve">Paid -in capital </w:t>
            </w:r>
          </w:p>
          <w:p w:rsidR="00202780" w:rsidRPr="00FB02B7" w:rsidRDefault="00202780" w:rsidP="00202780">
            <w:pPr>
              <w:pStyle w:val="ListParagraph"/>
              <w:numPr>
                <w:ilvl w:val="1"/>
                <w:numId w:val="2"/>
              </w:numPr>
              <w:ind w:right="194" w:hanging="457"/>
              <w:jc w:val="both"/>
              <w:rPr>
                <w:rFonts w:ascii="Cambria" w:hAnsi="Cambria" w:cs="Calibri"/>
                <w:sz w:val="22"/>
                <w:szCs w:val="22"/>
                <w:lang w:val="en-US" w:eastAsia="en-US"/>
              </w:rPr>
            </w:pPr>
            <w:r w:rsidRPr="00FB02B7">
              <w:rPr>
                <w:rFonts w:ascii="Cambria" w:hAnsi="Cambria" w:cs="Calibri"/>
                <w:sz w:val="22"/>
                <w:szCs w:val="22"/>
                <w:lang w:val="en-US" w:eastAsia="en-US"/>
              </w:rPr>
              <w:t xml:space="preserve">Retained earnings </w:t>
            </w:r>
          </w:p>
          <w:p w:rsidR="00202780" w:rsidRPr="00FB02B7" w:rsidRDefault="00202780" w:rsidP="00202780">
            <w:pPr>
              <w:pStyle w:val="ListParagraph"/>
              <w:numPr>
                <w:ilvl w:val="1"/>
                <w:numId w:val="2"/>
              </w:numPr>
              <w:ind w:right="194" w:hanging="457"/>
              <w:jc w:val="both"/>
              <w:rPr>
                <w:rFonts w:ascii="Cambria" w:hAnsi="Cambria"/>
                <w:sz w:val="22"/>
                <w:szCs w:val="22"/>
                <w:lang w:val="en-US" w:eastAsia="en-US"/>
              </w:rPr>
            </w:pPr>
            <w:r w:rsidRPr="00FB02B7">
              <w:rPr>
                <w:rFonts w:ascii="Cambria" w:hAnsi="Cambria" w:cs="Calibri"/>
                <w:sz w:val="22"/>
                <w:szCs w:val="22"/>
                <w:lang w:val="en-US" w:eastAsia="en-US"/>
              </w:rPr>
              <w:t>Dividends</w:t>
            </w:r>
          </w:p>
          <w:p w:rsidR="00202780" w:rsidRPr="00FB02B7" w:rsidRDefault="00202780" w:rsidP="00202780">
            <w:pPr>
              <w:pStyle w:val="ListParagraph"/>
              <w:numPr>
                <w:ilvl w:val="1"/>
                <w:numId w:val="2"/>
              </w:numPr>
              <w:ind w:right="194" w:hanging="457"/>
              <w:jc w:val="both"/>
              <w:rPr>
                <w:rFonts w:ascii="Cambria" w:hAnsi="Cambria"/>
                <w:sz w:val="22"/>
                <w:szCs w:val="22"/>
                <w:lang w:val="en-US" w:eastAsia="en-US"/>
              </w:rPr>
            </w:pPr>
            <w:r w:rsidRPr="00FB02B7">
              <w:rPr>
                <w:rFonts w:ascii="Cambria" w:hAnsi="Cambria" w:cs="Calibri"/>
                <w:sz w:val="22"/>
                <w:szCs w:val="22"/>
                <w:lang w:val="en-US" w:eastAsia="en-US"/>
              </w:rPr>
              <w:t>Stock options and stock splits</w:t>
            </w:r>
          </w:p>
        </w:tc>
        <w:tc>
          <w:tcPr>
            <w:tcW w:w="1868" w:type="dxa"/>
          </w:tcPr>
          <w:p w:rsidR="00202780" w:rsidRPr="00FB02B7" w:rsidRDefault="00202780" w:rsidP="007E6BF5">
            <w:pPr>
              <w:rPr>
                <w:rFonts w:ascii="Cambria" w:hAnsi="Cambria"/>
                <w:sz w:val="22"/>
                <w:szCs w:val="22"/>
              </w:rPr>
            </w:pPr>
          </w:p>
        </w:tc>
      </w:tr>
      <w:tr w:rsidR="00202780" w:rsidRPr="00FB02B7" w:rsidTr="007E6BF5">
        <w:tc>
          <w:tcPr>
            <w:tcW w:w="2136" w:type="dxa"/>
          </w:tcPr>
          <w:p w:rsidR="00202780" w:rsidRPr="00FB02B7" w:rsidRDefault="00202780" w:rsidP="007E6BF5">
            <w:pPr>
              <w:rPr>
                <w:rFonts w:ascii="Cambria" w:hAnsi="Cambria"/>
                <w:sz w:val="22"/>
                <w:szCs w:val="22"/>
              </w:rPr>
            </w:pPr>
          </w:p>
        </w:tc>
        <w:tc>
          <w:tcPr>
            <w:tcW w:w="5572" w:type="dxa"/>
          </w:tcPr>
          <w:p w:rsidR="00202780" w:rsidRPr="00FB02B7" w:rsidRDefault="00202780" w:rsidP="00202780">
            <w:pPr>
              <w:pStyle w:val="ListParagraph"/>
              <w:numPr>
                <w:ilvl w:val="0"/>
                <w:numId w:val="2"/>
              </w:numPr>
              <w:ind w:right="194" w:hanging="357"/>
              <w:jc w:val="both"/>
              <w:rPr>
                <w:rFonts w:ascii="Cambria" w:hAnsi="Cambria" w:cs="Calibri"/>
                <w:sz w:val="22"/>
                <w:szCs w:val="22"/>
                <w:lang w:val="en-US" w:eastAsia="en-US"/>
              </w:rPr>
            </w:pPr>
            <w:r w:rsidRPr="00FB02B7">
              <w:rPr>
                <w:rFonts w:ascii="Cambria" w:hAnsi="Cambria" w:cs="Calibri"/>
                <w:sz w:val="22"/>
                <w:szCs w:val="22"/>
                <w:lang w:val="en-US" w:eastAsia="en-US"/>
              </w:rPr>
              <w:t>Accounting for Leases</w:t>
            </w:r>
          </w:p>
          <w:p w:rsidR="00202780" w:rsidRPr="00220FAA" w:rsidRDefault="00202780" w:rsidP="00202780">
            <w:pPr>
              <w:pStyle w:val="BodyTextIndent"/>
              <w:numPr>
                <w:ilvl w:val="1"/>
                <w:numId w:val="2"/>
              </w:numPr>
              <w:spacing w:after="0"/>
              <w:ind w:right="194" w:hanging="454"/>
              <w:jc w:val="both"/>
              <w:rPr>
                <w:rFonts w:ascii="Cambria" w:hAnsi="Cambria" w:cs="Calibri"/>
                <w:sz w:val="22"/>
                <w:szCs w:val="22"/>
                <w:lang w:val="en-US" w:eastAsia="en-US"/>
              </w:rPr>
            </w:pPr>
            <w:r w:rsidRPr="00220FAA">
              <w:rPr>
                <w:rFonts w:ascii="Cambria" w:hAnsi="Cambria" w:cs="Calibri"/>
                <w:sz w:val="22"/>
                <w:szCs w:val="22"/>
                <w:lang w:val="en-US" w:eastAsia="en-US"/>
              </w:rPr>
              <w:t>Types of leases</w:t>
            </w:r>
          </w:p>
          <w:p w:rsidR="00202780" w:rsidRPr="00220FAA" w:rsidRDefault="00202780" w:rsidP="00202780">
            <w:pPr>
              <w:pStyle w:val="BodyTextIndent"/>
              <w:numPr>
                <w:ilvl w:val="1"/>
                <w:numId w:val="2"/>
              </w:numPr>
              <w:spacing w:after="0"/>
              <w:ind w:right="194" w:hanging="454"/>
              <w:jc w:val="both"/>
              <w:rPr>
                <w:rFonts w:ascii="Cambria" w:hAnsi="Cambria" w:cs="Calibri"/>
                <w:sz w:val="22"/>
                <w:szCs w:val="22"/>
                <w:lang w:val="en-US" w:eastAsia="en-US"/>
              </w:rPr>
            </w:pPr>
            <w:r w:rsidRPr="00220FAA">
              <w:rPr>
                <w:rFonts w:ascii="Cambria" w:hAnsi="Cambria" w:cs="Calibri"/>
                <w:sz w:val="22"/>
                <w:szCs w:val="22"/>
                <w:lang w:val="en-US" w:eastAsia="en-US"/>
              </w:rPr>
              <w:t>Overview of Ethiopian lease business law</w:t>
            </w:r>
          </w:p>
          <w:p w:rsidR="00202780" w:rsidRPr="00220FAA" w:rsidRDefault="00202780" w:rsidP="00202780">
            <w:pPr>
              <w:pStyle w:val="BodyTextIndent"/>
              <w:numPr>
                <w:ilvl w:val="1"/>
                <w:numId w:val="2"/>
              </w:numPr>
              <w:spacing w:after="0"/>
              <w:ind w:right="194" w:hanging="454"/>
              <w:jc w:val="both"/>
              <w:rPr>
                <w:rFonts w:ascii="Cambria" w:hAnsi="Cambria" w:cs="Calibri"/>
                <w:sz w:val="22"/>
                <w:szCs w:val="22"/>
                <w:lang w:val="en-US" w:eastAsia="en-US"/>
              </w:rPr>
            </w:pPr>
            <w:r w:rsidRPr="00220FAA">
              <w:rPr>
                <w:rFonts w:ascii="Cambria" w:hAnsi="Cambria" w:cs="Calibri"/>
                <w:sz w:val="22"/>
                <w:szCs w:val="22"/>
                <w:lang w:val="en-US" w:eastAsia="en-US"/>
              </w:rPr>
              <w:t>Basic lease accounting issues</w:t>
            </w:r>
          </w:p>
          <w:p w:rsidR="00202780" w:rsidRPr="00220FAA" w:rsidRDefault="00202780" w:rsidP="00202780">
            <w:pPr>
              <w:pStyle w:val="BodyTextIndent"/>
              <w:numPr>
                <w:ilvl w:val="1"/>
                <w:numId w:val="2"/>
              </w:numPr>
              <w:spacing w:after="0"/>
              <w:ind w:right="194" w:hanging="454"/>
              <w:jc w:val="both"/>
              <w:rPr>
                <w:rFonts w:ascii="Cambria" w:hAnsi="Cambria" w:cs="Calibri"/>
                <w:sz w:val="22"/>
                <w:szCs w:val="22"/>
                <w:lang w:val="en-US" w:eastAsia="en-US"/>
              </w:rPr>
            </w:pPr>
            <w:r w:rsidRPr="00220FAA">
              <w:rPr>
                <w:rFonts w:ascii="Cambria" w:hAnsi="Cambria" w:cs="Calibri"/>
                <w:sz w:val="22"/>
                <w:szCs w:val="22"/>
                <w:lang w:val="en-US" w:eastAsia="en-US"/>
              </w:rPr>
              <w:t>Accounting for operating leases: Lessee and Lessor</w:t>
            </w:r>
          </w:p>
          <w:p w:rsidR="00202780" w:rsidRPr="00220FAA" w:rsidRDefault="00202780" w:rsidP="00202780">
            <w:pPr>
              <w:pStyle w:val="BodyTextIndent"/>
              <w:numPr>
                <w:ilvl w:val="1"/>
                <w:numId w:val="2"/>
              </w:numPr>
              <w:spacing w:after="0"/>
              <w:ind w:right="194" w:hanging="454"/>
              <w:jc w:val="both"/>
              <w:rPr>
                <w:rFonts w:ascii="Cambria" w:hAnsi="Cambria"/>
                <w:sz w:val="22"/>
                <w:szCs w:val="22"/>
                <w:lang w:val="en-US" w:eastAsia="en-US"/>
              </w:rPr>
            </w:pPr>
            <w:r w:rsidRPr="00220FAA">
              <w:rPr>
                <w:rFonts w:ascii="Cambria" w:hAnsi="Cambria" w:cs="Calibri"/>
                <w:sz w:val="22"/>
                <w:szCs w:val="22"/>
                <w:lang w:val="en-US" w:eastAsia="en-US"/>
              </w:rPr>
              <w:t>Accounting for capital leases: Lessee and Lessor</w:t>
            </w:r>
          </w:p>
          <w:p w:rsidR="00202780" w:rsidRPr="00220FAA" w:rsidRDefault="00202780" w:rsidP="00202780">
            <w:pPr>
              <w:pStyle w:val="BodyTextIndent"/>
              <w:numPr>
                <w:ilvl w:val="1"/>
                <w:numId w:val="2"/>
              </w:numPr>
              <w:spacing w:after="0"/>
              <w:ind w:right="194" w:hanging="454"/>
              <w:jc w:val="both"/>
              <w:rPr>
                <w:rFonts w:ascii="Cambria" w:hAnsi="Cambria"/>
                <w:sz w:val="22"/>
                <w:szCs w:val="22"/>
                <w:lang w:val="en-US" w:eastAsia="en-US"/>
              </w:rPr>
            </w:pPr>
            <w:r w:rsidRPr="00220FAA">
              <w:rPr>
                <w:rFonts w:ascii="Cambria" w:hAnsi="Cambria" w:cs="Calibri"/>
                <w:sz w:val="22"/>
                <w:szCs w:val="22"/>
                <w:lang w:val="en-US" w:eastAsia="en-US"/>
              </w:rPr>
              <w:t>Special Issues in accounting for capital leases</w:t>
            </w:r>
          </w:p>
        </w:tc>
        <w:tc>
          <w:tcPr>
            <w:tcW w:w="1868" w:type="dxa"/>
          </w:tcPr>
          <w:p w:rsidR="00202780" w:rsidRPr="00FB02B7" w:rsidRDefault="00202780" w:rsidP="007E6BF5">
            <w:pPr>
              <w:rPr>
                <w:rFonts w:ascii="Cambria" w:hAnsi="Cambria"/>
                <w:sz w:val="22"/>
                <w:szCs w:val="22"/>
              </w:rPr>
            </w:pPr>
          </w:p>
        </w:tc>
      </w:tr>
      <w:tr w:rsidR="00202780" w:rsidRPr="00FB02B7" w:rsidTr="007E6BF5">
        <w:tc>
          <w:tcPr>
            <w:tcW w:w="2136" w:type="dxa"/>
          </w:tcPr>
          <w:p w:rsidR="00202780" w:rsidRPr="00FB02B7" w:rsidRDefault="00202780" w:rsidP="007E6BF5">
            <w:pPr>
              <w:rPr>
                <w:rFonts w:ascii="Cambria" w:hAnsi="Cambria"/>
                <w:sz w:val="22"/>
                <w:szCs w:val="22"/>
              </w:rPr>
            </w:pPr>
          </w:p>
        </w:tc>
        <w:tc>
          <w:tcPr>
            <w:tcW w:w="5572" w:type="dxa"/>
          </w:tcPr>
          <w:p w:rsidR="00202780" w:rsidRPr="00FB02B7" w:rsidRDefault="00202780" w:rsidP="00202780">
            <w:pPr>
              <w:pStyle w:val="ListParagraph"/>
              <w:numPr>
                <w:ilvl w:val="0"/>
                <w:numId w:val="2"/>
              </w:numPr>
              <w:ind w:right="194" w:hanging="357"/>
              <w:jc w:val="both"/>
              <w:rPr>
                <w:rFonts w:ascii="Cambria" w:hAnsi="Cambria" w:cs="Calibri"/>
                <w:sz w:val="22"/>
                <w:szCs w:val="22"/>
                <w:lang w:val="en-US" w:eastAsia="en-US"/>
              </w:rPr>
            </w:pPr>
            <w:r w:rsidRPr="00FB02B7">
              <w:rPr>
                <w:rFonts w:ascii="Cambria" w:hAnsi="Cambria" w:cs="Calibri"/>
                <w:sz w:val="22"/>
                <w:szCs w:val="22"/>
                <w:lang w:val="en-US" w:eastAsia="en-US"/>
              </w:rPr>
              <w:t>Accounting Changes and Error Analysis</w:t>
            </w:r>
          </w:p>
          <w:p w:rsidR="00202780" w:rsidRPr="00220FAA" w:rsidRDefault="00202780" w:rsidP="00202780">
            <w:pPr>
              <w:pStyle w:val="BodyTextIndent"/>
              <w:numPr>
                <w:ilvl w:val="1"/>
                <w:numId w:val="2"/>
              </w:numPr>
              <w:spacing w:after="0"/>
              <w:ind w:right="194" w:hanging="454"/>
              <w:jc w:val="both"/>
              <w:rPr>
                <w:rFonts w:ascii="Cambria" w:hAnsi="Cambria" w:cs="Calibri"/>
                <w:sz w:val="22"/>
                <w:szCs w:val="22"/>
                <w:lang w:val="en-US" w:eastAsia="en-US"/>
              </w:rPr>
            </w:pPr>
            <w:r w:rsidRPr="00220FAA">
              <w:rPr>
                <w:rFonts w:ascii="Cambria" w:hAnsi="Cambria" w:cs="Calibri"/>
                <w:sz w:val="22"/>
                <w:szCs w:val="22"/>
                <w:lang w:val="en-US" w:eastAsia="en-US"/>
              </w:rPr>
              <w:t>Types of accounting changes</w:t>
            </w:r>
          </w:p>
          <w:p w:rsidR="00202780" w:rsidRPr="00220FAA" w:rsidRDefault="00202780" w:rsidP="00202780">
            <w:pPr>
              <w:pStyle w:val="BodyTextIndent"/>
              <w:numPr>
                <w:ilvl w:val="1"/>
                <w:numId w:val="2"/>
              </w:numPr>
              <w:spacing w:after="0"/>
              <w:ind w:right="194" w:hanging="454"/>
              <w:jc w:val="both"/>
              <w:rPr>
                <w:rFonts w:ascii="Cambria" w:hAnsi="Cambria" w:cs="Calibri"/>
                <w:sz w:val="22"/>
                <w:szCs w:val="22"/>
                <w:lang w:val="en-US" w:eastAsia="en-US"/>
              </w:rPr>
            </w:pPr>
            <w:r w:rsidRPr="00220FAA">
              <w:rPr>
                <w:rFonts w:ascii="Cambria" w:hAnsi="Cambria" w:cs="Calibri"/>
                <w:sz w:val="22"/>
                <w:szCs w:val="22"/>
                <w:lang w:val="en-US" w:eastAsia="en-US"/>
              </w:rPr>
              <w:t>Approaches to recording and reporting accounting changes</w:t>
            </w:r>
          </w:p>
          <w:p w:rsidR="00202780" w:rsidRPr="00220FAA" w:rsidRDefault="00202780" w:rsidP="00202780">
            <w:pPr>
              <w:pStyle w:val="BodyTextIndent"/>
              <w:numPr>
                <w:ilvl w:val="1"/>
                <w:numId w:val="2"/>
              </w:numPr>
              <w:spacing w:after="0"/>
              <w:ind w:right="194" w:hanging="454"/>
              <w:jc w:val="both"/>
              <w:rPr>
                <w:rFonts w:ascii="Cambria" w:hAnsi="Cambria"/>
                <w:sz w:val="22"/>
                <w:szCs w:val="22"/>
                <w:lang w:val="en-US" w:eastAsia="en-US"/>
              </w:rPr>
            </w:pPr>
            <w:r w:rsidRPr="00220FAA">
              <w:rPr>
                <w:rFonts w:ascii="Cambria" w:hAnsi="Cambria" w:cs="Calibri"/>
                <w:sz w:val="22"/>
                <w:szCs w:val="22"/>
                <w:lang w:val="en-US" w:eastAsia="en-US"/>
              </w:rPr>
              <w:t>Error correction and analysis</w:t>
            </w:r>
          </w:p>
        </w:tc>
        <w:tc>
          <w:tcPr>
            <w:tcW w:w="1868" w:type="dxa"/>
          </w:tcPr>
          <w:p w:rsidR="00202780" w:rsidRPr="00FB02B7" w:rsidRDefault="00202780" w:rsidP="007E6BF5">
            <w:pPr>
              <w:rPr>
                <w:rFonts w:ascii="Cambria" w:hAnsi="Cambria"/>
                <w:sz w:val="22"/>
                <w:szCs w:val="22"/>
              </w:rPr>
            </w:pPr>
          </w:p>
        </w:tc>
      </w:tr>
      <w:tr w:rsidR="00202780" w:rsidRPr="00FB02B7" w:rsidTr="007E6BF5">
        <w:tc>
          <w:tcPr>
            <w:tcW w:w="2136" w:type="dxa"/>
          </w:tcPr>
          <w:p w:rsidR="00202780" w:rsidRPr="00FB02B7" w:rsidRDefault="00202780" w:rsidP="007E6BF5">
            <w:pPr>
              <w:rPr>
                <w:rFonts w:ascii="Cambria" w:hAnsi="Cambria"/>
                <w:sz w:val="22"/>
                <w:szCs w:val="22"/>
              </w:rPr>
            </w:pPr>
          </w:p>
        </w:tc>
        <w:tc>
          <w:tcPr>
            <w:tcW w:w="5572" w:type="dxa"/>
          </w:tcPr>
          <w:p w:rsidR="00202780" w:rsidRPr="00FB02B7" w:rsidRDefault="00202780" w:rsidP="00202780">
            <w:pPr>
              <w:pStyle w:val="ListParagraph"/>
              <w:numPr>
                <w:ilvl w:val="0"/>
                <w:numId w:val="2"/>
              </w:numPr>
              <w:ind w:right="194" w:hanging="357"/>
              <w:jc w:val="both"/>
              <w:rPr>
                <w:rFonts w:ascii="Cambria" w:hAnsi="Cambria" w:cs="Calibri"/>
                <w:sz w:val="22"/>
                <w:szCs w:val="22"/>
                <w:lang w:val="en-US" w:eastAsia="en-US"/>
              </w:rPr>
            </w:pPr>
            <w:r w:rsidRPr="00FB02B7">
              <w:rPr>
                <w:rFonts w:ascii="Cambria" w:hAnsi="Cambria" w:cs="Calibri"/>
                <w:sz w:val="22"/>
                <w:szCs w:val="22"/>
                <w:lang w:val="en-US" w:eastAsia="en-US"/>
              </w:rPr>
              <w:t>Revisiting Statement of Cash Flows</w:t>
            </w:r>
          </w:p>
          <w:p w:rsidR="00202780" w:rsidRPr="00220FAA" w:rsidRDefault="00202780" w:rsidP="00202780">
            <w:pPr>
              <w:pStyle w:val="BodyTextIndent"/>
              <w:numPr>
                <w:ilvl w:val="1"/>
                <w:numId w:val="2"/>
              </w:numPr>
              <w:spacing w:after="0"/>
              <w:ind w:right="194" w:hanging="454"/>
              <w:jc w:val="both"/>
              <w:rPr>
                <w:rFonts w:ascii="Cambria" w:hAnsi="Cambria" w:cs="Calibri"/>
                <w:sz w:val="22"/>
                <w:szCs w:val="22"/>
                <w:lang w:val="en-US" w:eastAsia="en-US"/>
              </w:rPr>
            </w:pPr>
            <w:r w:rsidRPr="00220FAA">
              <w:rPr>
                <w:rFonts w:ascii="Cambria" w:hAnsi="Cambria" w:cs="Calibri"/>
                <w:sz w:val="22"/>
                <w:szCs w:val="22"/>
                <w:lang w:val="en-US" w:eastAsia="en-US"/>
              </w:rPr>
              <w:t>Classifications of cash flows</w:t>
            </w:r>
          </w:p>
          <w:p w:rsidR="00202780" w:rsidRPr="00220FAA" w:rsidRDefault="00202780" w:rsidP="00202780">
            <w:pPr>
              <w:pStyle w:val="BodyTextIndent"/>
              <w:numPr>
                <w:ilvl w:val="1"/>
                <w:numId w:val="2"/>
              </w:numPr>
              <w:spacing w:after="0"/>
              <w:ind w:right="194" w:hanging="454"/>
              <w:jc w:val="both"/>
              <w:rPr>
                <w:rFonts w:ascii="Cambria" w:hAnsi="Cambria" w:cs="Calibri"/>
                <w:sz w:val="22"/>
                <w:szCs w:val="22"/>
                <w:lang w:val="en-US" w:eastAsia="en-US"/>
              </w:rPr>
            </w:pPr>
            <w:r w:rsidRPr="00220FAA">
              <w:rPr>
                <w:rFonts w:ascii="Cambria" w:hAnsi="Cambria" w:cs="Calibri"/>
                <w:sz w:val="22"/>
                <w:szCs w:val="22"/>
                <w:lang w:val="en-US" w:eastAsia="en-US"/>
              </w:rPr>
              <w:t xml:space="preserve">Comprehensive illustration of statement of cash flows </w:t>
            </w:r>
          </w:p>
          <w:p w:rsidR="00202780" w:rsidRPr="00220FAA" w:rsidRDefault="00202780" w:rsidP="00202780">
            <w:pPr>
              <w:pStyle w:val="BodyTextIndent"/>
              <w:numPr>
                <w:ilvl w:val="1"/>
                <w:numId w:val="2"/>
              </w:numPr>
              <w:spacing w:after="0"/>
              <w:ind w:right="194" w:hanging="454"/>
              <w:jc w:val="both"/>
              <w:rPr>
                <w:rFonts w:ascii="Cambria" w:hAnsi="Cambria"/>
                <w:sz w:val="22"/>
                <w:szCs w:val="22"/>
                <w:lang w:val="en-US" w:eastAsia="en-US"/>
              </w:rPr>
            </w:pPr>
            <w:r w:rsidRPr="00220FAA">
              <w:rPr>
                <w:rFonts w:ascii="Cambria" w:hAnsi="Cambria" w:cs="Calibri"/>
                <w:sz w:val="22"/>
                <w:szCs w:val="22"/>
                <w:lang w:val="en-US" w:eastAsia="en-US"/>
              </w:rPr>
              <w:t>Significant non-cash financing and investing activities</w:t>
            </w:r>
          </w:p>
        </w:tc>
        <w:tc>
          <w:tcPr>
            <w:tcW w:w="1868" w:type="dxa"/>
          </w:tcPr>
          <w:p w:rsidR="00202780" w:rsidRPr="00FB02B7" w:rsidRDefault="00202780" w:rsidP="007E6BF5">
            <w:pPr>
              <w:rPr>
                <w:rFonts w:ascii="Cambria" w:hAnsi="Cambria"/>
                <w:sz w:val="22"/>
                <w:szCs w:val="22"/>
              </w:rPr>
            </w:pPr>
          </w:p>
        </w:tc>
      </w:tr>
      <w:tr w:rsidR="00202780" w:rsidRPr="00FB02B7" w:rsidTr="007E6BF5">
        <w:tc>
          <w:tcPr>
            <w:tcW w:w="2136" w:type="dxa"/>
          </w:tcPr>
          <w:p w:rsidR="00202780" w:rsidRPr="00FB02B7" w:rsidRDefault="00202780" w:rsidP="007E6BF5">
            <w:pPr>
              <w:rPr>
                <w:rFonts w:ascii="Cambria" w:hAnsi="Cambria"/>
                <w:sz w:val="22"/>
                <w:szCs w:val="22"/>
              </w:rPr>
            </w:pPr>
            <w:r w:rsidRPr="00FB02B7">
              <w:rPr>
                <w:rFonts w:ascii="Cambria" w:hAnsi="Cambria" w:cs="Calibri"/>
                <w:sz w:val="22"/>
                <w:szCs w:val="22"/>
              </w:rPr>
              <w:t>Teaching &amp; Learning Methods/strategy</w:t>
            </w:r>
          </w:p>
        </w:tc>
        <w:tc>
          <w:tcPr>
            <w:tcW w:w="7440" w:type="dxa"/>
            <w:gridSpan w:val="2"/>
          </w:tcPr>
          <w:p w:rsidR="00202780" w:rsidRPr="00FB02B7" w:rsidRDefault="00202780" w:rsidP="007E6BF5">
            <w:pPr>
              <w:autoSpaceDE w:val="0"/>
              <w:autoSpaceDN w:val="0"/>
              <w:adjustRightInd w:val="0"/>
              <w:ind w:right="194"/>
              <w:jc w:val="both"/>
              <w:rPr>
                <w:rFonts w:ascii="Cambria" w:eastAsia="Calibri" w:hAnsi="Cambria" w:cs="Calibri"/>
                <w:sz w:val="22"/>
                <w:szCs w:val="22"/>
              </w:rPr>
            </w:pPr>
            <w:r w:rsidRPr="00FB02B7">
              <w:rPr>
                <w:rFonts w:ascii="Cambria" w:eastAsia="Calibri" w:hAnsi="Cambria" w:cs="Calibri"/>
                <w:sz w:val="22"/>
                <w:szCs w:val="22"/>
              </w:rPr>
              <w:t xml:space="preserve">The teaching and learning methodology include lecturing, discussions, problem solving, and analysis. Take-home assignment will be given at the end of each chapter for submission within a week. Solution to the assignments will be given once assignments are collected. Cases with local relevance will also be given for each chapter for group of students to present in a class room. The full and active participation of students is highly encouraged.  </w:t>
            </w:r>
          </w:p>
          <w:p w:rsidR="00202780" w:rsidRPr="00FB02B7" w:rsidRDefault="00202780" w:rsidP="007E6BF5">
            <w:pPr>
              <w:rPr>
                <w:rFonts w:ascii="Cambria" w:hAnsi="Cambria"/>
                <w:sz w:val="22"/>
                <w:szCs w:val="22"/>
              </w:rPr>
            </w:pPr>
          </w:p>
        </w:tc>
      </w:tr>
      <w:tr w:rsidR="00202780" w:rsidRPr="00FB02B7" w:rsidTr="007E6BF5">
        <w:tc>
          <w:tcPr>
            <w:tcW w:w="2136" w:type="dxa"/>
          </w:tcPr>
          <w:p w:rsidR="00202780" w:rsidRPr="00FB02B7" w:rsidRDefault="00202780" w:rsidP="007E6BF5">
            <w:pPr>
              <w:ind w:right="194"/>
              <w:jc w:val="both"/>
              <w:rPr>
                <w:rFonts w:ascii="Cambria" w:hAnsi="Cambria"/>
                <w:sz w:val="22"/>
                <w:szCs w:val="22"/>
              </w:rPr>
            </w:pPr>
            <w:r w:rsidRPr="00FB02B7">
              <w:rPr>
                <w:rFonts w:ascii="Cambria" w:hAnsi="Cambria" w:cs="Calibri"/>
                <w:sz w:val="22"/>
                <w:szCs w:val="22"/>
              </w:rPr>
              <w:lastRenderedPageBreak/>
              <w:t xml:space="preserve">Assessment/Evaluation </w:t>
            </w:r>
          </w:p>
        </w:tc>
        <w:tc>
          <w:tcPr>
            <w:tcW w:w="7440" w:type="dxa"/>
            <w:gridSpan w:val="2"/>
          </w:tcPr>
          <w:p w:rsidR="00202780" w:rsidRPr="00FB02B7" w:rsidRDefault="00202780" w:rsidP="007E6BF5">
            <w:pPr>
              <w:ind w:right="194"/>
              <w:jc w:val="both"/>
              <w:rPr>
                <w:rFonts w:ascii="Cambria" w:hAnsi="Cambria" w:cs="Calibri"/>
                <w:sz w:val="22"/>
                <w:szCs w:val="22"/>
              </w:rPr>
            </w:pPr>
            <w:r w:rsidRPr="00FB02B7">
              <w:rPr>
                <w:rFonts w:ascii="Cambria" w:hAnsi="Cambria" w:cs="Calibri"/>
                <w:sz w:val="22"/>
                <w:szCs w:val="22"/>
              </w:rPr>
              <w:t xml:space="preserve">The evaluation scheme will be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883"/>
              <w:gridCol w:w="883"/>
              <w:gridCol w:w="966"/>
              <w:gridCol w:w="1574"/>
              <w:gridCol w:w="885"/>
              <w:gridCol w:w="976"/>
            </w:tblGrid>
            <w:tr w:rsidR="00202780" w:rsidRPr="00FB02B7" w:rsidTr="007E6BF5">
              <w:trPr>
                <w:trHeight w:val="142"/>
              </w:trPr>
              <w:tc>
                <w:tcPr>
                  <w:tcW w:w="990" w:type="dxa"/>
                </w:tcPr>
                <w:p w:rsidR="00202780" w:rsidRPr="00FB02B7" w:rsidRDefault="00202780" w:rsidP="007E6BF5">
                  <w:pPr>
                    <w:ind w:right="194"/>
                    <w:jc w:val="both"/>
                    <w:rPr>
                      <w:rFonts w:ascii="Cambria" w:hAnsi="Cambria" w:cs="Calibri"/>
                    </w:rPr>
                  </w:pPr>
                  <w:r w:rsidRPr="00FB02B7">
                    <w:rPr>
                      <w:rFonts w:ascii="Cambria" w:hAnsi="Cambria" w:cs="Calibri"/>
                      <w:sz w:val="22"/>
                      <w:szCs w:val="22"/>
                    </w:rPr>
                    <w:t>Test 1</w:t>
                  </w:r>
                </w:p>
              </w:tc>
              <w:tc>
                <w:tcPr>
                  <w:tcW w:w="990" w:type="dxa"/>
                </w:tcPr>
                <w:p w:rsidR="00202780" w:rsidRPr="00FB02B7" w:rsidRDefault="00202780" w:rsidP="007E6BF5">
                  <w:pPr>
                    <w:ind w:right="194"/>
                    <w:jc w:val="both"/>
                    <w:rPr>
                      <w:rFonts w:ascii="Cambria" w:hAnsi="Cambria" w:cs="Calibri"/>
                    </w:rPr>
                  </w:pPr>
                  <w:r w:rsidRPr="00FB02B7">
                    <w:rPr>
                      <w:rFonts w:ascii="Cambria" w:hAnsi="Cambria" w:cs="Calibri"/>
                      <w:sz w:val="22"/>
                      <w:szCs w:val="22"/>
                    </w:rPr>
                    <w:t>Test 2</w:t>
                  </w:r>
                </w:p>
              </w:tc>
              <w:tc>
                <w:tcPr>
                  <w:tcW w:w="990" w:type="dxa"/>
                </w:tcPr>
                <w:p w:rsidR="00202780" w:rsidRPr="00FB02B7" w:rsidRDefault="00202780" w:rsidP="007E6BF5">
                  <w:pPr>
                    <w:ind w:right="194"/>
                    <w:jc w:val="both"/>
                    <w:rPr>
                      <w:rFonts w:ascii="Cambria" w:hAnsi="Cambria" w:cs="Calibri"/>
                    </w:rPr>
                  </w:pPr>
                  <w:r w:rsidRPr="00FB02B7">
                    <w:rPr>
                      <w:rFonts w:ascii="Cambria" w:hAnsi="Cambria" w:cs="Calibri"/>
                      <w:sz w:val="22"/>
                      <w:szCs w:val="22"/>
                    </w:rPr>
                    <w:t>Test 3</w:t>
                  </w:r>
                </w:p>
              </w:tc>
              <w:tc>
                <w:tcPr>
                  <w:tcW w:w="990" w:type="dxa"/>
                </w:tcPr>
                <w:p w:rsidR="00202780" w:rsidRPr="00FB02B7" w:rsidRDefault="00202780" w:rsidP="007E6BF5">
                  <w:pPr>
                    <w:ind w:right="194"/>
                    <w:jc w:val="both"/>
                    <w:rPr>
                      <w:rFonts w:ascii="Cambria" w:hAnsi="Cambria" w:cs="Calibri"/>
                    </w:rPr>
                  </w:pPr>
                  <w:r w:rsidRPr="00FB02B7">
                    <w:rPr>
                      <w:rFonts w:ascii="Cambria" w:hAnsi="Cambria" w:cs="Calibri"/>
                      <w:sz w:val="22"/>
                      <w:szCs w:val="22"/>
                    </w:rPr>
                    <w:t>Quiz1</w:t>
                  </w:r>
                </w:p>
              </w:tc>
              <w:tc>
                <w:tcPr>
                  <w:tcW w:w="1759" w:type="dxa"/>
                </w:tcPr>
                <w:p w:rsidR="00202780" w:rsidRPr="00FB02B7" w:rsidRDefault="00202780" w:rsidP="007E6BF5">
                  <w:pPr>
                    <w:ind w:right="194"/>
                    <w:jc w:val="both"/>
                    <w:rPr>
                      <w:rFonts w:ascii="Cambria" w:hAnsi="Cambria" w:cs="Calibri"/>
                    </w:rPr>
                  </w:pPr>
                  <w:r w:rsidRPr="00FB02B7">
                    <w:rPr>
                      <w:rFonts w:ascii="Cambria" w:hAnsi="Cambria" w:cs="Calibri"/>
                      <w:sz w:val="22"/>
                      <w:szCs w:val="22"/>
                    </w:rPr>
                    <w:t>Assignment 1</w:t>
                  </w:r>
                </w:p>
              </w:tc>
              <w:tc>
                <w:tcPr>
                  <w:tcW w:w="900" w:type="dxa"/>
                </w:tcPr>
                <w:p w:rsidR="00202780" w:rsidRPr="00FB02B7" w:rsidRDefault="00202780" w:rsidP="007E6BF5">
                  <w:pPr>
                    <w:ind w:right="194"/>
                    <w:jc w:val="both"/>
                    <w:rPr>
                      <w:rFonts w:ascii="Cambria" w:hAnsi="Cambria" w:cs="Calibri"/>
                    </w:rPr>
                  </w:pPr>
                  <w:r w:rsidRPr="00FB02B7">
                    <w:rPr>
                      <w:rFonts w:ascii="Cambria" w:hAnsi="Cambria" w:cs="Calibri"/>
                      <w:sz w:val="22"/>
                      <w:szCs w:val="22"/>
                    </w:rPr>
                    <w:t xml:space="preserve">Final </w:t>
                  </w:r>
                </w:p>
              </w:tc>
              <w:tc>
                <w:tcPr>
                  <w:tcW w:w="990" w:type="dxa"/>
                </w:tcPr>
                <w:p w:rsidR="00202780" w:rsidRPr="00FB02B7" w:rsidRDefault="00202780" w:rsidP="007E6BF5">
                  <w:pPr>
                    <w:ind w:right="194"/>
                    <w:jc w:val="both"/>
                    <w:rPr>
                      <w:rFonts w:ascii="Cambria" w:hAnsi="Cambria" w:cs="Calibri"/>
                    </w:rPr>
                  </w:pPr>
                  <w:r w:rsidRPr="00FB02B7">
                    <w:rPr>
                      <w:rFonts w:ascii="Cambria" w:hAnsi="Cambria" w:cs="Calibri"/>
                      <w:sz w:val="22"/>
                      <w:szCs w:val="22"/>
                    </w:rPr>
                    <w:t xml:space="preserve">Total </w:t>
                  </w:r>
                </w:p>
              </w:tc>
            </w:tr>
            <w:tr w:rsidR="00202780" w:rsidRPr="00FB02B7" w:rsidTr="007E6BF5">
              <w:trPr>
                <w:trHeight w:val="142"/>
              </w:trPr>
              <w:tc>
                <w:tcPr>
                  <w:tcW w:w="990" w:type="dxa"/>
                </w:tcPr>
                <w:p w:rsidR="00202780" w:rsidRPr="00FB02B7" w:rsidRDefault="00202780" w:rsidP="007E6BF5">
                  <w:pPr>
                    <w:ind w:right="194"/>
                    <w:jc w:val="both"/>
                    <w:rPr>
                      <w:rFonts w:ascii="Cambria" w:hAnsi="Cambria" w:cs="Calibri"/>
                    </w:rPr>
                  </w:pPr>
                  <w:r w:rsidRPr="00FB02B7">
                    <w:rPr>
                      <w:rFonts w:ascii="Cambria" w:hAnsi="Cambria" w:cs="Calibri"/>
                      <w:sz w:val="22"/>
                      <w:szCs w:val="22"/>
                    </w:rPr>
                    <w:t>10%</w:t>
                  </w:r>
                </w:p>
              </w:tc>
              <w:tc>
                <w:tcPr>
                  <w:tcW w:w="990" w:type="dxa"/>
                </w:tcPr>
                <w:p w:rsidR="00202780" w:rsidRPr="00FB02B7" w:rsidRDefault="00202780" w:rsidP="007E6BF5">
                  <w:pPr>
                    <w:ind w:right="194"/>
                    <w:jc w:val="both"/>
                    <w:rPr>
                      <w:rFonts w:ascii="Cambria" w:hAnsi="Cambria" w:cs="Calibri"/>
                    </w:rPr>
                  </w:pPr>
                  <w:r w:rsidRPr="00FB02B7">
                    <w:rPr>
                      <w:rFonts w:ascii="Cambria" w:hAnsi="Cambria" w:cs="Calibri"/>
                      <w:sz w:val="22"/>
                      <w:szCs w:val="22"/>
                    </w:rPr>
                    <w:t>10%</w:t>
                  </w:r>
                </w:p>
              </w:tc>
              <w:tc>
                <w:tcPr>
                  <w:tcW w:w="990" w:type="dxa"/>
                </w:tcPr>
                <w:p w:rsidR="00202780" w:rsidRPr="00FB02B7" w:rsidRDefault="00202780" w:rsidP="007E6BF5">
                  <w:pPr>
                    <w:ind w:right="194"/>
                    <w:jc w:val="both"/>
                    <w:rPr>
                      <w:rFonts w:ascii="Cambria" w:hAnsi="Cambria" w:cs="Calibri"/>
                    </w:rPr>
                  </w:pPr>
                  <w:r w:rsidRPr="00FB02B7">
                    <w:rPr>
                      <w:rFonts w:ascii="Cambria" w:hAnsi="Cambria" w:cs="Calibri"/>
                      <w:sz w:val="22"/>
                      <w:szCs w:val="22"/>
                    </w:rPr>
                    <w:t>10%</w:t>
                  </w:r>
                </w:p>
              </w:tc>
              <w:tc>
                <w:tcPr>
                  <w:tcW w:w="990" w:type="dxa"/>
                </w:tcPr>
                <w:p w:rsidR="00202780" w:rsidRPr="00FB02B7" w:rsidRDefault="00202780" w:rsidP="007E6BF5">
                  <w:pPr>
                    <w:ind w:right="194"/>
                    <w:jc w:val="both"/>
                    <w:rPr>
                      <w:rFonts w:ascii="Cambria" w:hAnsi="Cambria" w:cs="Calibri"/>
                    </w:rPr>
                  </w:pPr>
                  <w:r w:rsidRPr="00FB02B7">
                    <w:rPr>
                      <w:rFonts w:ascii="Cambria" w:hAnsi="Cambria" w:cs="Calibri"/>
                      <w:sz w:val="22"/>
                      <w:szCs w:val="22"/>
                    </w:rPr>
                    <w:t>10%</w:t>
                  </w:r>
                </w:p>
              </w:tc>
              <w:tc>
                <w:tcPr>
                  <w:tcW w:w="1759" w:type="dxa"/>
                </w:tcPr>
                <w:p w:rsidR="00202780" w:rsidRPr="00FB02B7" w:rsidRDefault="00202780" w:rsidP="007E6BF5">
                  <w:pPr>
                    <w:ind w:right="194"/>
                    <w:jc w:val="both"/>
                    <w:rPr>
                      <w:rFonts w:ascii="Cambria" w:hAnsi="Cambria" w:cs="Calibri"/>
                    </w:rPr>
                  </w:pPr>
                  <w:r w:rsidRPr="00FB02B7">
                    <w:rPr>
                      <w:rFonts w:ascii="Cambria" w:hAnsi="Cambria" w:cs="Calibri"/>
                      <w:sz w:val="22"/>
                      <w:szCs w:val="22"/>
                    </w:rPr>
                    <w:t>10%</w:t>
                  </w:r>
                </w:p>
              </w:tc>
              <w:tc>
                <w:tcPr>
                  <w:tcW w:w="900" w:type="dxa"/>
                </w:tcPr>
                <w:p w:rsidR="00202780" w:rsidRPr="00FB02B7" w:rsidRDefault="00202780" w:rsidP="007E6BF5">
                  <w:pPr>
                    <w:ind w:right="194"/>
                    <w:jc w:val="both"/>
                    <w:rPr>
                      <w:rFonts w:ascii="Cambria" w:hAnsi="Cambria" w:cs="Calibri"/>
                    </w:rPr>
                  </w:pPr>
                  <w:r w:rsidRPr="00FB02B7">
                    <w:rPr>
                      <w:rFonts w:ascii="Cambria" w:hAnsi="Cambria" w:cs="Calibri"/>
                      <w:sz w:val="22"/>
                      <w:szCs w:val="22"/>
                    </w:rPr>
                    <w:t>50%</w:t>
                  </w:r>
                </w:p>
              </w:tc>
              <w:tc>
                <w:tcPr>
                  <w:tcW w:w="990" w:type="dxa"/>
                </w:tcPr>
                <w:p w:rsidR="00202780" w:rsidRPr="00FB02B7" w:rsidRDefault="00202780" w:rsidP="007E6BF5">
                  <w:pPr>
                    <w:ind w:right="194"/>
                    <w:jc w:val="both"/>
                    <w:rPr>
                      <w:rFonts w:ascii="Cambria" w:hAnsi="Cambria" w:cs="Calibri"/>
                    </w:rPr>
                  </w:pPr>
                  <w:r w:rsidRPr="00FB02B7">
                    <w:rPr>
                      <w:rFonts w:ascii="Cambria" w:hAnsi="Cambria" w:cs="Calibri"/>
                      <w:sz w:val="22"/>
                      <w:szCs w:val="22"/>
                    </w:rPr>
                    <w:t>100%</w:t>
                  </w:r>
                </w:p>
              </w:tc>
            </w:tr>
          </w:tbl>
          <w:p w:rsidR="00202780" w:rsidRPr="00FB02B7" w:rsidRDefault="00202780" w:rsidP="007E6BF5">
            <w:pPr>
              <w:rPr>
                <w:rFonts w:ascii="Cambria" w:hAnsi="Cambria"/>
                <w:sz w:val="22"/>
                <w:szCs w:val="22"/>
              </w:rPr>
            </w:pPr>
          </w:p>
        </w:tc>
      </w:tr>
      <w:tr w:rsidR="00202780" w:rsidRPr="00FB02B7" w:rsidTr="007E6BF5">
        <w:tc>
          <w:tcPr>
            <w:tcW w:w="2136" w:type="dxa"/>
          </w:tcPr>
          <w:p w:rsidR="00202780" w:rsidRPr="00FB02B7" w:rsidRDefault="00202780" w:rsidP="007E6BF5">
            <w:pPr>
              <w:rPr>
                <w:rFonts w:ascii="Cambria" w:hAnsi="Cambria"/>
                <w:sz w:val="22"/>
                <w:szCs w:val="22"/>
              </w:rPr>
            </w:pPr>
            <w:r w:rsidRPr="00FB02B7">
              <w:rPr>
                <w:rFonts w:ascii="Cambria" w:hAnsi="Cambria" w:cs="Calibri"/>
                <w:sz w:val="22"/>
                <w:szCs w:val="22"/>
              </w:rPr>
              <w:t>Work load in hours</w:t>
            </w:r>
          </w:p>
        </w:tc>
        <w:tc>
          <w:tcPr>
            <w:tcW w:w="7440" w:type="dxa"/>
            <w:gridSpan w:val="2"/>
          </w:tcPr>
          <w:tbl>
            <w:tblPr>
              <w:tblpPr w:leftFromText="180" w:rightFromText="180" w:vertAnchor="text" w:horzAnchor="margin" w:tblpX="-10" w:tblpY="211"/>
              <w:tblOverlap w:val="never"/>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534"/>
              <w:gridCol w:w="1065"/>
              <w:gridCol w:w="820"/>
              <w:gridCol w:w="746"/>
              <w:gridCol w:w="995"/>
              <w:gridCol w:w="792"/>
              <w:gridCol w:w="606"/>
              <w:gridCol w:w="606"/>
            </w:tblGrid>
            <w:tr w:rsidR="00202780" w:rsidRPr="00FB02B7" w:rsidTr="007E6BF5">
              <w:trPr>
                <w:trHeight w:val="375"/>
              </w:trPr>
              <w:tc>
                <w:tcPr>
                  <w:tcW w:w="5575" w:type="dxa"/>
                  <w:gridSpan w:val="7"/>
                  <w:shd w:val="clear" w:color="auto" w:fill="auto"/>
                  <w:noWrap/>
                  <w:vAlign w:val="center"/>
                </w:tcPr>
                <w:p w:rsidR="00202780" w:rsidRPr="00FB02B7" w:rsidRDefault="00202780" w:rsidP="007E6BF5">
                  <w:pPr>
                    <w:rPr>
                      <w:rFonts w:ascii="Cambria" w:hAnsi="Cambria"/>
                      <w:bCs/>
                      <w:sz w:val="20"/>
                      <w:szCs w:val="20"/>
                    </w:rPr>
                  </w:pPr>
                  <w:r w:rsidRPr="00FB02B7">
                    <w:rPr>
                      <w:rFonts w:ascii="Cambria" w:hAnsi="Cambria"/>
                      <w:bCs/>
                      <w:sz w:val="20"/>
                      <w:szCs w:val="20"/>
                    </w:rPr>
                    <w:t>Hours Required</w:t>
                  </w:r>
                </w:p>
              </w:tc>
              <w:tc>
                <w:tcPr>
                  <w:tcW w:w="720" w:type="dxa"/>
                  <w:vMerge w:val="restart"/>
                  <w:shd w:val="clear" w:color="auto" w:fill="auto"/>
                  <w:noWrap/>
                  <w:vAlign w:val="center"/>
                </w:tcPr>
                <w:p w:rsidR="00202780" w:rsidRPr="00FB02B7" w:rsidRDefault="00202780" w:rsidP="007E6BF5">
                  <w:pPr>
                    <w:rPr>
                      <w:rFonts w:ascii="Cambria" w:hAnsi="Cambria"/>
                      <w:bCs/>
                      <w:sz w:val="20"/>
                      <w:szCs w:val="20"/>
                    </w:rPr>
                  </w:pPr>
                  <w:r w:rsidRPr="00FB02B7">
                    <w:rPr>
                      <w:rFonts w:ascii="Cambria" w:hAnsi="Cambria"/>
                      <w:bCs/>
                      <w:sz w:val="20"/>
                      <w:szCs w:val="20"/>
                    </w:rPr>
                    <w:t xml:space="preserve">Total </w:t>
                  </w:r>
                  <w:proofErr w:type="spellStart"/>
                  <w:r w:rsidRPr="00FB02B7">
                    <w:rPr>
                      <w:rFonts w:ascii="Cambria" w:hAnsi="Cambria"/>
                      <w:bCs/>
                      <w:sz w:val="20"/>
                      <w:szCs w:val="20"/>
                    </w:rPr>
                    <w:t>Hrs</w:t>
                  </w:r>
                  <w:proofErr w:type="spellEnd"/>
                </w:p>
              </w:tc>
              <w:tc>
                <w:tcPr>
                  <w:tcW w:w="720" w:type="dxa"/>
                  <w:vMerge w:val="restart"/>
                  <w:shd w:val="clear" w:color="auto" w:fill="auto"/>
                  <w:noWrap/>
                  <w:vAlign w:val="center"/>
                </w:tcPr>
                <w:p w:rsidR="00202780" w:rsidRPr="00FB02B7" w:rsidRDefault="00202780" w:rsidP="007E6BF5">
                  <w:pPr>
                    <w:rPr>
                      <w:rFonts w:ascii="Cambria" w:hAnsi="Cambria"/>
                      <w:bCs/>
                      <w:sz w:val="20"/>
                      <w:szCs w:val="20"/>
                    </w:rPr>
                  </w:pPr>
                  <w:r w:rsidRPr="00FB02B7">
                    <w:rPr>
                      <w:rFonts w:ascii="Cambria" w:hAnsi="Cambria"/>
                      <w:bCs/>
                      <w:sz w:val="20"/>
                      <w:szCs w:val="20"/>
                    </w:rPr>
                    <w:t>ECTS</w:t>
                  </w:r>
                </w:p>
              </w:tc>
            </w:tr>
            <w:tr w:rsidR="00202780" w:rsidRPr="00FB02B7" w:rsidTr="007E6BF5">
              <w:trPr>
                <w:trHeight w:val="375"/>
              </w:trPr>
              <w:tc>
                <w:tcPr>
                  <w:tcW w:w="1080" w:type="dxa"/>
                  <w:shd w:val="clear" w:color="auto" w:fill="auto"/>
                  <w:noWrap/>
                  <w:vAlign w:val="bottom"/>
                  <w:hideMark/>
                </w:tcPr>
                <w:p w:rsidR="00202780" w:rsidRPr="00FB02B7" w:rsidRDefault="00202780" w:rsidP="007E6BF5">
                  <w:pPr>
                    <w:rPr>
                      <w:rFonts w:ascii="Cambria" w:hAnsi="Cambria"/>
                      <w:bCs/>
                      <w:sz w:val="20"/>
                      <w:szCs w:val="20"/>
                    </w:rPr>
                  </w:pPr>
                  <w:r w:rsidRPr="00FB02B7">
                    <w:rPr>
                      <w:rFonts w:ascii="Cambria" w:hAnsi="Cambria"/>
                      <w:bCs/>
                      <w:sz w:val="20"/>
                      <w:szCs w:val="20"/>
                    </w:rPr>
                    <w:t>Lectures</w:t>
                  </w:r>
                </w:p>
              </w:tc>
              <w:tc>
                <w:tcPr>
                  <w:tcW w:w="625" w:type="dxa"/>
                  <w:shd w:val="clear" w:color="auto" w:fill="auto"/>
                  <w:noWrap/>
                  <w:vAlign w:val="bottom"/>
                  <w:hideMark/>
                </w:tcPr>
                <w:p w:rsidR="00202780" w:rsidRPr="00FB02B7" w:rsidRDefault="00202780" w:rsidP="007E6BF5">
                  <w:pPr>
                    <w:rPr>
                      <w:rFonts w:ascii="Cambria" w:hAnsi="Cambria"/>
                      <w:bCs/>
                      <w:sz w:val="20"/>
                      <w:szCs w:val="20"/>
                    </w:rPr>
                  </w:pPr>
                  <w:r w:rsidRPr="00FB02B7">
                    <w:rPr>
                      <w:rFonts w:ascii="Cambria" w:hAnsi="Cambria"/>
                      <w:bCs/>
                      <w:sz w:val="20"/>
                      <w:szCs w:val="20"/>
                    </w:rPr>
                    <w:t>Lab</w:t>
                  </w:r>
                </w:p>
              </w:tc>
              <w:tc>
                <w:tcPr>
                  <w:tcW w:w="810" w:type="dxa"/>
                  <w:shd w:val="clear" w:color="auto" w:fill="auto"/>
                  <w:noWrap/>
                  <w:vAlign w:val="bottom"/>
                  <w:hideMark/>
                </w:tcPr>
                <w:p w:rsidR="00202780" w:rsidRPr="00FB02B7" w:rsidRDefault="00202780" w:rsidP="007E6BF5">
                  <w:pPr>
                    <w:rPr>
                      <w:rFonts w:ascii="Cambria" w:hAnsi="Cambria"/>
                      <w:bCs/>
                      <w:sz w:val="20"/>
                      <w:szCs w:val="20"/>
                    </w:rPr>
                  </w:pPr>
                  <w:r w:rsidRPr="00FB02B7">
                    <w:rPr>
                      <w:rFonts w:ascii="Cambria" w:hAnsi="Cambria"/>
                      <w:bCs/>
                      <w:sz w:val="20"/>
                      <w:szCs w:val="20"/>
                    </w:rPr>
                    <w:t>Assessments</w:t>
                  </w:r>
                </w:p>
              </w:tc>
              <w:tc>
                <w:tcPr>
                  <w:tcW w:w="720" w:type="dxa"/>
                  <w:shd w:val="clear" w:color="auto" w:fill="auto"/>
                  <w:noWrap/>
                  <w:vAlign w:val="bottom"/>
                  <w:hideMark/>
                </w:tcPr>
                <w:p w:rsidR="00202780" w:rsidRPr="00FB02B7" w:rsidRDefault="00202780" w:rsidP="007E6BF5">
                  <w:pPr>
                    <w:rPr>
                      <w:rFonts w:ascii="Cambria" w:hAnsi="Cambria"/>
                      <w:bCs/>
                      <w:sz w:val="20"/>
                      <w:szCs w:val="20"/>
                    </w:rPr>
                  </w:pPr>
                  <w:r w:rsidRPr="00FB02B7">
                    <w:rPr>
                      <w:rFonts w:ascii="Cambria" w:hAnsi="Cambria"/>
                      <w:bCs/>
                      <w:sz w:val="20"/>
                      <w:szCs w:val="20"/>
                    </w:rPr>
                    <w:t>Tutorials</w:t>
                  </w:r>
                </w:p>
              </w:tc>
              <w:tc>
                <w:tcPr>
                  <w:tcW w:w="900" w:type="dxa"/>
                  <w:shd w:val="clear" w:color="auto" w:fill="auto"/>
                  <w:noWrap/>
                  <w:vAlign w:val="bottom"/>
                  <w:hideMark/>
                </w:tcPr>
                <w:p w:rsidR="00202780" w:rsidRPr="00FB02B7" w:rsidRDefault="00202780" w:rsidP="007E6BF5">
                  <w:pPr>
                    <w:rPr>
                      <w:rFonts w:ascii="Cambria" w:hAnsi="Cambria"/>
                      <w:bCs/>
                      <w:sz w:val="20"/>
                      <w:szCs w:val="20"/>
                    </w:rPr>
                  </w:pPr>
                  <w:r w:rsidRPr="00FB02B7">
                    <w:rPr>
                      <w:rFonts w:ascii="Cambria" w:hAnsi="Cambria"/>
                      <w:bCs/>
                      <w:sz w:val="20"/>
                      <w:szCs w:val="20"/>
                    </w:rPr>
                    <w:t>Self-Studies</w:t>
                  </w:r>
                </w:p>
              </w:tc>
              <w:tc>
                <w:tcPr>
                  <w:tcW w:w="810" w:type="dxa"/>
                  <w:shd w:val="clear" w:color="auto" w:fill="auto"/>
                  <w:noWrap/>
                  <w:vAlign w:val="bottom"/>
                  <w:hideMark/>
                </w:tcPr>
                <w:p w:rsidR="00202780" w:rsidRPr="00FB02B7" w:rsidRDefault="00202780" w:rsidP="007E6BF5">
                  <w:pPr>
                    <w:rPr>
                      <w:rFonts w:ascii="Cambria" w:hAnsi="Cambria"/>
                      <w:bCs/>
                      <w:sz w:val="20"/>
                      <w:szCs w:val="20"/>
                    </w:rPr>
                  </w:pPr>
                  <w:r w:rsidRPr="00FB02B7">
                    <w:rPr>
                      <w:rFonts w:ascii="Cambria" w:hAnsi="Cambria"/>
                      <w:bCs/>
                      <w:sz w:val="20"/>
                      <w:szCs w:val="20"/>
                    </w:rPr>
                    <w:t>Assignment</w:t>
                  </w:r>
                </w:p>
              </w:tc>
              <w:tc>
                <w:tcPr>
                  <w:tcW w:w="630" w:type="dxa"/>
                  <w:shd w:val="clear" w:color="auto" w:fill="auto"/>
                  <w:noWrap/>
                  <w:vAlign w:val="bottom"/>
                  <w:hideMark/>
                </w:tcPr>
                <w:p w:rsidR="00202780" w:rsidRPr="00FB02B7" w:rsidRDefault="00202780" w:rsidP="007E6BF5">
                  <w:pPr>
                    <w:rPr>
                      <w:rFonts w:ascii="Cambria" w:hAnsi="Cambria"/>
                      <w:bCs/>
                      <w:sz w:val="20"/>
                      <w:szCs w:val="20"/>
                    </w:rPr>
                  </w:pPr>
                  <w:r w:rsidRPr="00FB02B7">
                    <w:rPr>
                      <w:rFonts w:ascii="Cambria" w:hAnsi="Cambria"/>
                      <w:bCs/>
                      <w:sz w:val="20"/>
                      <w:szCs w:val="20"/>
                    </w:rPr>
                    <w:t>Advising</w:t>
                  </w:r>
                </w:p>
              </w:tc>
              <w:tc>
                <w:tcPr>
                  <w:tcW w:w="720" w:type="dxa"/>
                  <w:vMerge/>
                  <w:shd w:val="clear" w:color="auto" w:fill="auto"/>
                  <w:noWrap/>
                  <w:vAlign w:val="bottom"/>
                  <w:hideMark/>
                </w:tcPr>
                <w:p w:rsidR="00202780" w:rsidRPr="00FB02B7" w:rsidRDefault="00202780" w:rsidP="007E6BF5">
                  <w:pPr>
                    <w:rPr>
                      <w:rFonts w:ascii="Cambria" w:hAnsi="Cambria"/>
                      <w:bCs/>
                      <w:sz w:val="20"/>
                      <w:szCs w:val="20"/>
                    </w:rPr>
                  </w:pPr>
                </w:p>
              </w:tc>
              <w:tc>
                <w:tcPr>
                  <w:tcW w:w="720" w:type="dxa"/>
                  <w:vMerge/>
                  <w:shd w:val="clear" w:color="auto" w:fill="auto"/>
                  <w:noWrap/>
                  <w:vAlign w:val="bottom"/>
                  <w:hideMark/>
                </w:tcPr>
                <w:p w:rsidR="00202780" w:rsidRPr="00FB02B7" w:rsidRDefault="00202780" w:rsidP="007E6BF5">
                  <w:pPr>
                    <w:rPr>
                      <w:rFonts w:ascii="Cambria" w:hAnsi="Cambria"/>
                      <w:bCs/>
                      <w:sz w:val="20"/>
                      <w:szCs w:val="20"/>
                    </w:rPr>
                  </w:pPr>
                </w:p>
              </w:tc>
            </w:tr>
            <w:tr w:rsidR="00202780" w:rsidRPr="00FB02B7" w:rsidTr="007E6BF5">
              <w:trPr>
                <w:trHeight w:val="375"/>
              </w:trPr>
              <w:tc>
                <w:tcPr>
                  <w:tcW w:w="1080" w:type="dxa"/>
                  <w:shd w:val="clear" w:color="auto" w:fill="auto"/>
                  <w:noWrap/>
                  <w:vAlign w:val="bottom"/>
                  <w:hideMark/>
                </w:tcPr>
                <w:p w:rsidR="00202780" w:rsidRPr="00FB02B7" w:rsidRDefault="00202780" w:rsidP="007E6BF5">
                  <w:pPr>
                    <w:jc w:val="right"/>
                    <w:rPr>
                      <w:rFonts w:ascii="Cambria" w:hAnsi="Cambria"/>
                      <w:bCs/>
                    </w:rPr>
                  </w:pPr>
                  <w:r w:rsidRPr="00FB02B7">
                    <w:rPr>
                      <w:rFonts w:ascii="Cambria" w:hAnsi="Cambria"/>
                      <w:bCs/>
                      <w:sz w:val="22"/>
                      <w:szCs w:val="22"/>
                    </w:rPr>
                    <w:t>64</w:t>
                  </w:r>
                </w:p>
              </w:tc>
              <w:tc>
                <w:tcPr>
                  <w:tcW w:w="625" w:type="dxa"/>
                  <w:shd w:val="clear" w:color="auto" w:fill="auto"/>
                  <w:noWrap/>
                  <w:vAlign w:val="bottom"/>
                  <w:hideMark/>
                </w:tcPr>
                <w:p w:rsidR="00202780" w:rsidRPr="00FB02B7" w:rsidRDefault="00202780" w:rsidP="007E6BF5">
                  <w:pPr>
                    <w:rPr>
                      <w:rFonts w:ascii="Cambria" w:hAnsi="Cambria"/>
                      <w:bCs/>
                    </w:rPr>
                  </w:pPr>
                  <w:r w:rsidRPr="00FB02B7">
                    <w:rPr>
                      <w:rFonts w:ascii="Cambria" w:hAnsi="Cambria"/>
                      <w:bCs/>
                      <w:sz w:val="22"/>
                      <w:szCs w:val="22"/>
                    </w:rPr>
                    <w:t> -</w:t>
                  </w:r>
                </w:p>
              </w:tc>
              <w:tc>
                <w:tcPr>
                  <w:tcW w:w="810" w:type="dxa"/>
                  <w:shd w:val="clear" w:color="auto" w:fill="auto"/>
                  <w:noWrap/>
                  <w:vAlign w:val="bottom"/>
                  <w:hideMark/>
                </w:tcPr>
                <w:p w:rsidR="00202780" w:rsidRPr="00FB02B7" w:rsidRDefault="00202780" w:rsidP="007E6BF5">
                  <w:pPr>
                    <w:jc w:val="right"/>
                    <w:rPr>
                      <w:rFonts w:ascii="Cambria" w:hAnsi="Cambria"/>
                      <w:bCs/>
                    </w:rPr>
                  </w:pPr>
                  <w:r w:rsidRPr="00FB02B7">
                    <w:rPr>
                      <w:rFonts w:ascii="Cambria" w:hAnsi="Cambria"/>
                      <w:bCs/>
                      <w:sz w:val="22"/>
                      <w:szCs w:val="22"/>
                    </w:rPr>
                    <w:t>22</w:t>
                  </w:r>
                </w:p>
              </w:tc>
              <w:tc>
                <w:tcPr>
                  <w:tcW w:w="720" w:type="dxa"/>
                  <w:shd w:val="clear" w:color="auto" w:fill="auto"/>
                  <w:noWrap/>
                  <w:vAlign w:val="bottom"/>
                  <w:hideMark/>
                </w:tcPr>
                <w:p w:rsidR="00202780" w:rsidRPr="00FB02B7" w:rsidRDefault="00202780" w:rsidP="007E6BF5">
                  <w:pPr>
                    <w:jc w:val="right"/>
                    <w:rPr>
                      <w:rFonts w:ascii="Cambria" w:hAnsi="Cambria"/>
                      <w:bCs/>
                    </w:rPr>
                  </w:pPr>
                  <w:r w:rsidRPr="00FB02B7">
                    <w:rPr>
                      <w:rFonts w:ascii="Cambria" w:hAnsi="Cambria"/>
                      <w:bCs/>
                      <w:sz w:val="22"/>
                      <w:szCs w:val="22"/>
                    </w:rPr>
                    <w:t>12</w:t>
                  </w:r>
                </w:p>
              </w:tc>
              <w:tc>
                <w:tcPr>
                  <w:tcW w:w="900" w:type="dxa"/>
                  <w:shd w:val="clear" w:color="auto" w:fill="auto"/>
                  <w:noWrap/>
                  <w:vAlign w:val="bottom"/>
                  <w:hideMark/>
                </w:tcPr>
                <w:p w:rsidR="00202780" w:rsidRPr="00FB02B7" w:rsidRDefault="00202780" w:rsidP="007E6BF5">
                  <w:pPr>
                    <w:jc w:val="right"/>
                    <w:rPr>
                      <w:rFonts w:ascii="Cambria" w:hAnsi="Cambria"/>
                      <w:bCs/>
                    </w:rPr>
                  </w:pPr>
                  <w:r w:rsidRPr="00FB02B7">
                    <w:rPr>
                      <w:rFonts w:ascii="Cambria" w:hAnsi="Cambria"/>
                      <w:bCs/>
                      <w:sz w:val="22"/>
                      <w:szCs w:val="22"/>
                    </w:rPr>
                    <w:t>64</w:t>
                  </w:r>
                </w:p>
              </w:tc>
              <w:tc>
                <w:tcPr>
                  <w:tcW w:w="810" w:type="dxa"/>
                  <w:shd w:val="clear" w:color="auto" w:fill="auto"/>
                  <w:noWrap/>
                  <w:vAlign w:val="bottom"/>
                  <w:hideMark/>
                </w:tcPr>
                <w:p w:rsidR="00202780" w:rsidRPr="00FB02B7" w:rsidRDefault="00202780" w:rsidP="007E6BF5">
                  <w:pPr>
                    <w:rPr>
                      <w:rFonts w:ascii="Cambria" w:hAnsi="Cambria"/>
                      <w:bCs/>
                    </w:rPr>
                  </w:pPr>
                  <w:r w:rsidRPr="00FB02B7">
                    <w:rPr>
                      <w:rFonts w:ascii="Cambria" w:hAnsi="Cambria"/>
                      <w:bCs/>
                      <w:sz w:val="22"/>
                      <w:szCs w:val="22"/>
                    </w:rPr>
                    <w:t> -</w:t>
                  </w:r>
                </w:p>
              </w:tc>
              <w:tc>
                <w:tcPr>
                  <w:tcW w:w="630" w:type="dxa"/>
                  <w:shd w:val="clear" w:color="auto" w:fill="auto"/>
                  <w:noWrap/>
                  <w:vAlign w:val="bottom"/>
                  <w:hideMark/>
                </w:tcPr>
                <w:p w:rsidR="00202780" w:rsidRPr="00FB02B7" w:rsidRDefault="00202780" w:rsidP="007E6BF5">
                  <w:pPr>
                    <w:rPr>
                      <w:rFonts w:ascii="Cambria" w:hAnsi="Cambria"/>
                      <w:bCs/>
                    </w:rPr>
                  </w:pPr>
                  <w:r w:rsidRPr="00FB02B7">
                    <w:rPr>
                      <w:rFonts w:ascii="Cambria" w:hAnsi="Cambria"/>
                      <w:bCs/>
                      <w:sz w:val="22"/>
                      <w:szCs w:val="22"/>
                    </w:rPr>
                    <w:t>- </w:t>
                  </w:r>
                </w:p>
              </w:tc>
              <w:tc>
                <w:tcPr>
                  <w:tcW w:w="720" w:type="dxa"/>
                  <w:shd w:val="clear" w:color="auto" w:fill="auto"/>
                  <w:noWrap/>
                  <w:vAlign w:val="bottom"/>
                  <w:hideMark/>
                </w:tcPr>
                <w:p w:rsidR="00202780" w:rsidRPr="00FB02B7" w:rsidRDefault="00202780" w:rsidP="007E6BF5">
                  <w:pPr>
                    <w:rPr>
                      <w:rFonts w:ascii="Cambria" w:hAnsi="Cambria"/>
                      <w:bCs/>
                    </w:rPr>
                  </w:pPr>
                  <w:r w:rsidRPr="00FB02B7">
                    <w:rPr>
                      <w:rFonts w:ascii="Cambria" w:hAnsi="Cambria"/>
                      <w:bCs/>
                      <w:sz w:val="22"/>
                      <w:szCs w:val="22"/>
                    </w:rPr>
                    <w:t>162</w:t>
                  </w:r>
                </w:p>
              </w:tc>
              <w:tc>
                <w:tcPr>
                  <w:tcW w:w="720" w:type="dxa"/>
                  <w:shd w:val="clear" w:color="auto" w:fill="auto"/>
                  <w:noWrap/>
                  <w:vAlign w:val="bottom"/>
                  <w:hideMark/>
                </w:tcPr>
                <w:p w:rsidR="00202780" w:rsidRPr="00FB02B7" w:rsidRDefault="00202780" w:rsidP="007E6BF5">
                  <w:pPr>
                    <w:jc w:val="right"/>
                    <w:rPr>
                      <w:rFonts w:ascii="Cambria" w:hAnsi="Cambria"/>
                      <w:bCs/>
                    </w:rPr>
                  </w:pPr>
                  <w:r w:rsidRPr="00FB02B7">
                    <w:rPr>
                      <w:rFonts w:ascii="Cambria" w:hAnsi="Cambria"/>
                      <w:bCs/>
                      <w:sz w:val="22"/>
                      <w:szCs w:val="22"/>
                    </w:rPr>
                    <w:t>6</w:t>
                  </w:r>
                </w:p>
              </w:tc>
            </w:tr>
          </w:tbl>
          <w:p w:rsidR="00202780" w:rsidRPr="00FB02B7" w:rsidRDefault="00202780" w:rsidP="007E6BF5">
            <w:pPr>
              <w:rPr>
                <w:rFonts w:ascii="Cambria" w:hAnsi="Cambria"/>
                <w:sz w:val="22"/>
                <w:szCs w:val="22"/>
              </w:rPr>
            </w:pPr>
          </w:p>
          <w:p w:rsidR="00202780" w:rsidRPr="00FB02B7" w:rsidRDefault="00202780" w:rsidP="007E6BF5">
            <w:pPr>
              <w:rPr>
                <w:rFonts w:ascii="Cambria" w:hAnsi="Cambria"/>
                <w:sz w:val="22"/>
                <w:szCs w:val="22"/>
              </w:rPr>
            </w:pPr>
          </w:p>
        </w:tc>
      </w:tr>
      <w:tr w:rsidR="00202780" w:rsidRPr="00FB02B7" w:rsidTr="007E6BF5">
        <w:tc>
          <w:tcPr>
            <w:tcW w:w="2136" w:type="dxa"/>
          </w:tcPr>
          <w:p w:rsidR="00202780" w:rsidRPr="00FB02B7" w:rsidRDefault="00202780" w:rsidP="007E6BF5">
            <w:pPr>
              <w:rPr>
                <w:rFonts w:ascii="Cambria" w:hAnsi="Cambria"/>
                <w:sz w:val="22"/>
                <w:szCs w:val="22"/>
              </w:rPr>
            </w:pPr>
            <w:r w:rsidRPr="00FB02B7">
              <w:rPr>
                <w:rFonts w:ascii="Cambria" w:hAnsi="Cambria" w:cs="Calibri"/>
                <w:sz w:val="22"/>
                <w:szCs w:val="22"/>
              </w:rPr>
              <w:t>Roles of the Instructor</w:t>
            </w:r>
          </w:p>
        </w:tc>
        <w:tc>
          <w:tcPr>
            <w:tcW w:w="7440" w:type="dxa"/>
            <w:gridSpan w:val="2"/>
          </w:tcPr>
          <w:p w:rsidR="00202780" w:rsidRPr="00FB02B7" w:rsidRDefault="00202780" w:rsidP="007E6BF5">
            <w:pPr>
              <w:ind w:right="194"/>
              <w:jc w:val="both"/>
              <w:rPr>
                <w:rFonts w:ascii="Cambria" w:hAnsi="Cambria"/>
                <w:sz w:val="22"/>
                <w:szCs w:val="22"/>
              </w:rPr>
            </w:pPr>
            <w:r w:rsidRPr="00FB02B7">
              <w:rPr>
                <w:rFonts w:ascii="Cambria" w:hAnsi="Cambria" w:cs="Calibri"/>
                <w:sz w:val="22"/>
                <w:szCs w:val="22"/>
              </w:rPr>
              <w:t>He/she will come to the class regularly on time and deliver the lecture in a well-organized manner. Besides, at the end of each class he/she gives reading assignment for the next class. He/she will make sure that proper assessments is given. He/she is also responsible to give feedback for each assessment.</w:t>
            </w:r>
          </w:p>
        </w:tc>
      </w:tr>
      <w:tr w:rsidR="00202780" w:rsidRPr="00FB02B7" w:rsidTr="007E6BF5">
        <w:tc>
          <w:tcPr>
            <w:tcW w:w="2136" w:type="dxa"/>
          </w:tcPr>
          <w:p w:rsidR="00202780" w:rsidRPr="00FB02B7" w:rsidRDefault="00202780" w:rsidP="007E6BF5">
            <w:pPr>
              <w:rPr>
                <w:rFonts w:ascii="Cambria" w:hAnsi="Cambria"/>
                <w:sz w:val="22"/>
                <w:szCs w:val="22"/>
              </w:rPr>
            </w:pPr>
            <w:r w:rsidRPr="00FB02B7">
              <w:rPr>
                <w:rFonts w:ascii="Cambria" w:hAnsi="Cambria" w:cs="Calibri"/>
                <w:sz w:val="22"/>
                <w:szCs w:val="22"/>
              </w:rPr>
              <w:t>Roles of the students</w:t>
            </w:r>
          </w:p>
        </w:tc>
        <w:tc>
          <w:tcPr>
            <w:tcW w:w="7440" w:type="dxa"/>
            <w:gridSpan w:val="2"/>
          </w:tcPr>
          <w:p w:rsidR="00202780" w:rsidRPr="00FB02B7" w:rsidRDefault="00202780" w:rsidP="007E6BF5">
            <w:pPr>
              <w:jc w:val="both"/>
              <w:rPr>
                <w:rFonts w:ascii="Cambria" w:hAnsi="Cambria"/>
                <w:sz w:val="22"/>
                <w:szCs w:val="22"/>
              </w:rPr>
            </w:pPr>
            <w:r w:rsidRPr="00FB02B7">
              <w:rPr>
                <w:rFonts w:ascii="Cambria" w:hAnsi="Cambria" w:cs="Calibri"/>
                <w:sz w:val="22"/>
                <w:szCs w:val="22"/>
              </w:rPr>
              <w:t xml:space="preserve">The success of this course depends on the students’ individual and collective contribution to the class discussions. Students are expected to participate voluntarily, or will be called upon, to contribute to set exercises and problems. Students are also expected to read the assigned readings and prepare the cases before each class so that they could contribute effectively to class discussions. Students must attempt assignments by their own. </w:t>
            </w:r>
            <w:r w:rsidRPr="00FB02B7">
              <w:rPr>
                <w:rFonts w:ascii="Cambria" w:eastAsia="Calibri" w:hAnsi="Cambria" w:cs="Calibri"/>
                <w:sz w:val="22"/>
                <w:szCs w:val="22"/>
              </w:rPr>
              <w:t xml:space="preserve">Proficiency in this course comes from individual knowledge and understanding. </w:t>
            </w:r>
            <w:r w:rsidRPr="00FB02B7">
              <w:rPr>
                <w:rFonts w:ascii="Cambria" w:hAnsi="Cambria" w:cs="Calibri"/>
                <w:sz w:val="22"/>
                <w:szCs w:val="22"/>
              </w:rPr>
              <w:t>Copying the works of others is considered as serious offence and leads to disciplinary actions.</w:t>
            </w:r>
          </w:p>
        </w:tc>
      </w:tr>
      <w:tr w:rsidR="00202780" w:rsidRPr="00FB02B7" w:rsidTr="007E6BF5">
        <w:tc>
          <w:tcPr>
            <w:tcW w:w="2136" w:type="dxa"/>
            <w:shd w:val="clear" w:color="auto" w:fill="auto"/>
          </w:tcPr>
          <w:p w:rsidR="00202780" w:rsidRPr="00FB02B7" w:rsidRDefault="00202780" w:rsidP="007E6BF5">
            <w:pPr>
              <w:rPr>
                <w:rFonts w:ascii="Cambria" w:hAnsi="Cambria"/>
                <w:sz w:val="22"/>
                <w:szCs w:val="22"/>
              </w:rPr>
            </w:pPr>
            <w:r w:rsidRPr="00FB02B7">
              <w:rPr>
                <w:rFonts w:ascii="Cambria" w:hAnsi="Cambria" w:cs="Calibri"/>
                <w:sz w:val="22"/>
                <w:szCs w:val="22"/>
              </w:rPr>
              <w:t>Text and reference books</w:t>
            </w:r>
          </w:p>
        </w:tc>
        <w:tc>
          <w:tcPr>
            <w:tcW w:w="7440" w:type="dxa"/>
            <w:gridSpan w:val="2"/>
            <w:shd w:val="clear" w:color="auto" w:fill="auto"/>
          </w:tcPr>
          <w:p w:rsidR="00202780" w:rsidRPr="00FB02B7" w:rsidRDefault="00202780" w:rsidP="007E6BF5">
            <w:pPr>
              <w:ind w:right="194"/>
              <w:jc w:val="both"/>
              <w:rPr>
                <w:rFonts w:ascii="Cambria" w:hAnsi="Cambria" w:cs="Calibri"/>
                <w:b/>
                <w:sz w:val="22"/>
                <w:szCs w:val="22"/>
                <w:u w:val="single"/>
              </w:rPr>
            </w:pPr>
            <w:r w:rsidRPr="00FB02B7">
              <w:rPr>
                <w:rFonts w:ascii="Cambria" w:hAnsi="Cambria" w:cs="Calibri"/>
                <w:b/>
                <w:sz w:val="22"/>
                <w:szCs w:val="22"/>
                <w:u w:val="single"/>
              </w:rPr>
              <w:t>Text Book:</w:t>
            </w:r>
          </w:p>
          <w:p w:rsidR="00202780" w:rsidRPr="00FB02B7" w:rsidRDefault="00202780" w:rsidP="007E6BF5">
            <w:pPr>
              <w:pStyle w:val="ListParagraph"/>
              <w:ind w:left="185" w:right="194"/>
              <w:jc w:val="both"/>
              <w:rPr>
                <w:rFonts w:ascii="Cambria" w:hAnsi="Cambria" w:cs="Calibri"/>
                <w:sz w:val="22"/>
                <w:szCs w:val="22"/>
                <w:lang w:val="en-US" w:eastAsia="en-US"/>
              </w:rPr>
            </w:pPr>
          </w:p>
          <w:p w:rsidR="00202780" w:rsidRPr="00FB02B7" w:rsidRDefault="00202780" w:rsidP="007E6BF5">
            <w:pPr>
              <w:ind w:right="194"/>
              <w:jc w:val="both"/>
              <w:rPr>
                <w:rFonts w:ascii="Cambria" w:hAnsi="Cambria" w:cs="Calibri"/>
                <w:b/>
                <w:sz w:val="22"/>
                <w:szCs w:val="22"/>
                <w:u w:val="single"/>
              </w:rPr>
            </w:pPr>
            <w:r w:rsidRPr="00FB02B7">
              <w:rPr>
                <w:rFonts w:ascii="Cambria" w:hAnsi="Cambria" w:cs="Calibri"/>
                <w:b/>
                <w:sz w:val="22"/>
                <w:szCs w:val="22"/>
                <w:u w:val="single"/>
              </w:rPr>
              <w:t>Reference Books</w:t>
            </w:r>
          </w:p>
          <w:p w:rsidR="00202780" w:rsidRPr="00FB02B7" w:rsidRDefault="00202780" w:rsidP="007E6BF5">
            <w:pPr>
              <w:rPr>
                <w:rFonts w:ascii="Cambria" w:hAnsi="Cambria"/>
                <w:sz w:val="22"/>
                <w:szCs w:val="22"/>
              </w:rPr>
            </w:pPr>
          </w:p>
        </w:tc>
      </w:tr>
      <w:tr w:rsidR="00202780" w:rsidRPr="00FB02B7" w:rsidTr="007E6BF5">
        <w:tc>
          <w:tcPr>
            <w:tcW w:w="2136" w:type="dxa"/>
          </w:tcPr>
          <w:p w:rsidR="00202780" w:rsidRPr="00FB02B7" w:rsidRDefault="00202780" w:rsidP="007E6BF5">
            <w:pPr>
              <w:rPr>
                <w:rFonts w:ascii="Cambria" w:hAnsi="Cambria"/>
                <w:sz w:val="22"/>
                <w:szCs w:val="22"/>
              </w:rPr>
            </w:pPr>
          </w:p>
        </w:tc>
        <w:tc>
          <w:tcPr>
            <w:tcW w:w="5572" w:type="dxa"/>
          </w:tcPr>
          <w:p w:rsidR="00202780" w:rsidRPr="00FB02B7" w:rsidRDefault="00202780" w:rsidP="007E6BF5">
            <w:pPr>
              <w:rPr>
                <w:rFonts w:ascii="Cambria" w:hAnsi="Cambria"/>
                <w:sz w:val="22"/>
                <w:szCs w:val="22"/>
              </w:rPr>
            </w:pPr>
          </w:p>
        </w:tc>
        <w:tc>
          <w:tcPr>
            <w:tcW w:w="1868" w:type="dxa"/>
          </w:tcPr>
          <w:p w:rsidR="00202780" w:rsidRPr="00FB02B7" w:rsidRDefault="00202780" w:rsidP="007E6BF5">
            <w:pPr>
              <w:rPr>
                <w:rFonts w:ascii="Cambria" w:hAnsi="Cambria"/>
                <w:sz w:val="22"/>
                <w:szCs w:val="22"/>
              </w:rPr>
            </w:pPr>
          </w:p>
        </w:tc>
      </w:tr>
    </w:tbl>
    <w:p w:rsidR="001A569E" w:rsidRDefault="001A569E">
      <w:bookmarkStart w:id="0" w:name="_GoBack"/>
      <w:bookmarkEnd w:id="0"/>
    </w:p>
    <w:sectPr w:rsidR="001A5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E1930"/>
    <w:multiLevelType w:val="multilevel"/>
    <w:tmpl w:val="5818EA3A"/>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1E8A4A2E"/>
    <w:multiLevelType w:val="hybridMultilevel"/>
    <w:tmpl w:val="2CD6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80"/>
    <w:rsid w:val="001A569E"/>
    <w:rsid w:val="0020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5B598-AD4D-4AAB-B4AF-593CF1B3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2780"/>
    <w:pPr>
      <w:ind w:left="720"/>
      <w:contextualSpacing/>
    </w:pPr>
    <w:rPr>
      <w:lang w:val="x-none" w:eastAsia="x-none"/>
    </w:rPr>
  </w:style>
  <w:style w:type="character" w:customStyle="1" w:styleId="ListParagraphChar">
    <w:name w:val="List Paragraph Char"/>
    <w:link w:val="ListParagraph"/>
    <w:uiPriority w:val="34"/>
    <w:rsid w:val="00202780"/>
    <w:rPr>
      <w:rFonts w:ascii="Times New Roman" w:eastAsia="Times New Roman" w:hAnsi="Times New Roman" w:cs="Times New Roman"/>
      <w:sz w:val="24"/>
      <w:szCs w:val="24"/>
      <w:lang w:val="x-none" w:eastAsia="x-none"/>
    </w:rPr>
  </w:style>
  <w:style w:type="paragraph" w:customStyle="1" w:styleId="Default">
    <w:name w:val="Default"/>
    <w:rsid w:val="00202780"/>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unhideWhenUsed/>
    <w:rsid w:val="00202780"/>
    <w:pPr>
      <w:spacing w:after="120"/>
      <w:ind w:left="360"/>
    </w:pPr>
    <w:rPr>
      <w:lang w:val="x-none" w:eastAsia="x-none"/>
    </w:rPr>
  </w:style>
  <w:style w:type="character" w:customStyle="1" w:styleId="BodyTextIndentChar">
    <w:name w:val="Body Text Indent Char"/>
    <w:basedOn w:val="DefaultParagraphFont"/>
    <w:link w:val="BodyTextIndent"/>
    <w:uiPriority w:val="99"/>
    <w:rsid w:val="0020278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Enyew Mulu</dc:creator>
  <cp:keywords/>
  <dc:description/>
  <cp:lastModifiedBy>Enyew Mulu</cp:lastModifiedBy>
  <cp:revision>1</cp:revision>
  <dcterms:created xsi:type="dcterms:W3CDTF">2020-04-22T22:00:00Z</dcterms:created>
  <dcterms:modified xsi:type="dcterms:W3CDTF">2020-04-22T22:00:00Z</dcterms:modified>
</cp:coreProperties>
</file>