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0" w:rsidRPr="003E3A7C" w:rsidRDefault="00714DA0" w:rsidP="00714DA0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3E3A7C">
        <w:rPr>
          <w:rFonts w:ascii="Times New Roman" w:hAnsi="Times New Roman"/>
          <w:b/>
          <w:i/>
          <w:sz w:val="24"/>
          <w:szCs w:val="24"/>
          <w:lang w:val="en-GB"/>
        </w:rPr>
        <w:t>Course Guide book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                     </w:t>
      </w:r>
      <w:r w:rsidR="00F05487">
        <w:rPr>
          <w:rFonts w:ascii="Times New Roman" w:hAnsi="Times New Roman"/>
          <w:b/>
          <w:i/>
          <w:sz w:val="24"/>
          <w:szCs w:val="24"/>
          <w:lang w:val="en-GB"/>
        </w:rPr>
        <w:t>February 2020</w:t>
      </w:r>
    </w:p>
    <w:tbl>
      <w:tblPr>
        <w:tblStyle w:val="TableGrid"/>
        <w:tblpPr w:leftFromText="180" w:rightFromText="180" w:vertAnchor="page" w:horzAnchor="margin" w:tblpX="-792" w:tblpY="198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7218"/>
      </w:tblGrid>
      <w:tr w:rsidR="00714DA0" w:rsidRPr="00192497" w:rsidTr="0053142C">
        <w:trPr>
          <w:trHeight w:val="711"/>
        </w:trPr>
        <w:tc>
          <w:tcPr>
            <w:tcW w:w="11088" w:type="dxa"/>
            <w:gridSpan w:val="2"/>
          </w:tcPr>
          <w:p w:rsidR="00714DA0" w:rsidRDefault="00714DA0" w:rsidP="00714DA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69DE">
              <w:rPr>
                <w:rFonts w:ascii="Times New Roman" w:eastAsiaTheme="majorEastAsia" w:hAnsi="Times New Roman"/>
                <w:noProof/>
                <w:sz w:val="24"/>
                <w:szCs w:val="24"/>
              </w:rPr>
              <w:drawing>
                <wp:inline distT="0" distB="0" distL="0" distR="0" wp14:anchorId="0C3E1E44" wp14:editId="461BCCBA">
                  <wp:extent cx="1137036" cy="866692"/>
                  <wp:effectExtent l="0" t="0" r="6350" b="0"/>
                  <wp:docPr id="9" name="Picture 9" descr="C:\Users\user\Desktop\MA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15" cy="87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DA0" w:rsidRPr="00192497" w:rsidRDefault="00714DA0" w:rsidP="00714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MEKDELA AMBA UNIVERSITY;</w:t>
            </w:r>
          </w:p>
          <w:p w:rsidR="00714DA0" w:rsidRPr="00192497" w:rsidRDefault="00714DA0" w:rsidP="00714DA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mallCaps/>
                <w:lang w:val="en-GB"/>
              </w:rPr>
            </w:pPr>
            <w:r w:rsidRPr="00192497">
              <w:rPr>
                <w:rFonts w:ascii="Times New Roman" w:hAnsi="Times New Roman"/>
                <w:b/>
                <w:bCs/>
                <w:iCs/>
                <w:smallCaps/>
                <w:lang w:val="en-GB"/>
              </w:rPr>
              <w:t>COLLEGE OF BUSINESS AND ECONOMICS; ECONOMICS Program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70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Program </w:t>
            </w:r>
          </w:p>
        </w:tc>
        <w:tc>
          <w:tcPr>
            <w:tcW w:w="7218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Economics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70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Course  Title</w:t>
            </w:r>
          </w:p>
        </w:tc>
        <w:tc>
          <w:tcPr>
            <w:tcW w:w="7218" w:type="dxa"/>
          </w:tcPr>
          <w:p w:rsidR="00AD270C" w:rsidRPr="00AD270C" w:rsidRDefault="00AD270C" w:rsidP="00AD270C">
            <w:pPr>
              <w:spacing w:after="120"/>
              <w:jc w:val="both"/>
              <w:rPr>
                <w:rFonts w:ascii="Times New Roman" w:hAnsi="Times New Roman"/>
                <w:b/>
                <w:smallCaps/>
                <w:sz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sz w:val="26"/>
                <w:lang w:val="en-GB"/>
              </w:rPr>
              <w:t>ecoN</w:t>
            </w:r>
            <w:r w:rsidRPr="001B509B">
              <w:rPr>
                <w:rFonts w:ascii="Times New Roman" w:hAnsi="Times New Roman"/>
                <w:b/>
                <w:smallCaps/>
                <w:sz w:val="26"/>
                <w:lang w:val="en-GB"/>
              </w:rPr>
              <w:t>omics</w:t>
            </w:r>
            <w:proofErr w:type="spellEnd"/>
            <w:r w:rsidRPr="001B509B">
              <w:rPr>
                <w:rFonts w:ascii="Times New Roman" w:hAnsi="Times New Roman"/>
                <w:b/>
                <w:smallCaps/>
                <w:sz w:val="26"/>
                <w:lang w:val="en-GB"/>
              </w:rPr>
              <w:t xml:space="preserve"> of industry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70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7218" w:type="dxa"/>
          </w:tcPr>
          <w:p w:rsidR="00714DA0" w:rsidRPr="00192497" w:rsidRDefault="007F5BC6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</w:rPr>
              <w:t>Econ 3102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3870" w:type="dxa"/>
            <w:vMerge w:val="restart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Instructor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Mebtu</w:t>
            </w:r>
            <w:proofErr w:type="spellEnd"/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M.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3870" w:type="dxa"/>
            <w:vMerge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Office </w:t>
            </w:r>
            <w:r w:rsidR="0068383E">
              <w:rPr>
                <w:rFonts w:ascii="Times New Roman" w:hAnsi="Times New Roman"/>
                <w:sz w:val="24"/>
                <w:szCs w:val="24"/>
                <w:lang w:val="en-GB"/>
              </w:rPr>
              <w:t>location: Academics Building F0</w:t>
            </w: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68383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</w:t>
            </w:r>
            <w:r w:rsidR="000901A0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3870" w:type="dxa"/>
            <w:vMerge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Email: mebtumelaku7@gmail.com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70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Credit HRs</w:t>
            </w:r>
          </w:p>
        </w:tc>
        <w:tc>
          <w:tcPr>
            <w:tcW w:w="7218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70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Target Group</w:t>
            </w:r>
          </w:p>
        </w:tc>
        <w:tc>
          <w:tcPr>
            <w:tcW w:w="7218" w:type="dxa"/>
          </w:tcPr>
          <w:p w:rsidR="00714DA0" w:rsidRPr="00192497" w:rsidRDefault="007F5BC6" w:rsidP="00C105D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EC5090">
              <w:rPr>
                <w:rFonts w:ascii="Times New Roman" w:hAnsi="Times New Roman"/>
                <w:sz w:val="24"/>
                <w:szCs w:val="24"/>
                <w:lang w:val="en-GB"/>
              </w:rPr>
              <w:t>hird</w:t>
            </w:r>
            <w:r w:rsidR="00C105D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year</w:t>
            </w:r>
            <w:r w:rsidR="00714DA0" w:rsidRPr="001924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4DA0" w:rsidRPr="00192497"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  <w:proofErr w:type="spellEnd"/>
            <w:r w:rsidR="00714DA0" w:rsidRPr="001924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Economics Students</w:t>
            </w:r>
          </w:p>
        </w:tc>
      </w:tr>
      <w:tr w:rsidR="00714DA0" w:rsidRPr="00192497" w:rsidTr="005314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870" w:type="dxa"/>
          </w:tcPr>
          <w:p w:rsidR="00714DA0" w:rsidRPr="00192497" w:rsidRDefault="00714DA0" w:rsidP="00B11B8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sz w:val="24"/>
                <w:szCs w:val="24"/>
                <w:lang w:val="en-GB"/>
              </w:rPr>
              <w:t>Year /Semester</w:t>
            </w:r>
          </w:p>
        </w:tc>
        <w:tc>
          <w:tcPr>
            <w:tcW w:w="7218" w:type="dxa"/>
          </w:tcPr>
          <w:p w:rsidR="00714DA0" w:rsidRPr="00192497" w:rsidRDefault="00714DA0" w:rsidP="00B11B8A">
            <w:pPr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9249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Year </w:t>
            </w:r>
            <w:r w:rsidR="0084359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</w:t>
            </w:r>
            <w:r w:rsidR="0041000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</w:t>
            </w:r>
            <w:r w:rsidRPr="0019249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I, Semester </w:t>
            </w:r>
            <w:r w:rsidR="0084359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</w:t>
            </w:r>
            <w:r w:rsidRPr="0019249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 </w:t>
            </w:r>
          </w:p>
        </w:tc>
      </w:tr>
    </w:tbl>
    <w:p w:rsidR="0041000F" w:rsidRDefault="0041000F" w:rsidP="0041000F">
      <w:pPr>
        <w:spacing w:after="120"/>
        <w:jc w:val="both"/>
        <w:rPr>
          <w:rFonts w:ascii="Times New Roman" w:hAnsi="Times New Roman"/>
          <w:b/>
          <w:smallCaps/>
          <w:sz w:val="24"/>
          <w:lang w:val="en-GB"/>
        </w:rPr>
      </w:pPr>
      <w:r>
        <w:rPr>
          <w:rFonts w:ascii="Times New Roman" w:hAnsi="Times New Roman"/>
          <w:b/>
          <w:smallCaps/>
          <w:sz w:val="24"/>
          <w:lang w:val="en-GB"/>
        </w:rPr>
        <w:t>COURSE Description</w:t>
      </w:r>
    </w:p>
    <w:p w:rsidR="0041000F" w:rsidRPr="0041000F" w:rsidRDefault="0041000F" w:rsidP="0041000F">
      <w:pPr>
        <w:spacing w:after="120"/>
        <w:jc w:val="both"/>
        <w:rPr>
          <w:rFonts w:ascii="Times New Roman" w:hAnsi="Times New Roman"/>
          <w:b/>
          <w:smallCaps/>
          <w:sz w:val="24"/>
          <w:lang w:val="en-GB"/>
        </w:rPr>
      </w:pPr>
      <w:r w:rsidRPr="00B8546E">
        <w:rPr>
          <w:rFonts w:ascii="Times New Roman" w:hAnsi="Times New Roman"/>
          <w:sz w:val="24"/>
          <w:lang w:val="en-GB"/>
        </w:rPr>
        <w:t xml:space="preserve">Industrial Economics is the study of firms, industries and markets. It looks at firms of all sizes - from local corner shops to multinational giants and` it considers a whole range of industries, such as textile, electricity generation, car production and restaurants etc...When </w:t>
      </w:r>
      <w:proofErr w:type="spellStart"/>
      <w:r w:rsidRPr="00B8546E">
        <w:rPr>
          <w:rFonts w:ascii="Times New Roman" w:hAnsi="Times New Roman"/>
          <w:sz w:val="24"/>
          <w:lang w:val="en-GB"/>
        </w:rPr>
        <w:t>analyzing</w:t>
      </w:r>
      <w:proofErr w:type="spellEnd"/>
      <w:r w:rsidRPr="00B8546E">
        <w:rPr>
          <w:rFonts w:ascii="Times New Roman" w:hAnsi="Times New Roman"/>
          <w:sz w:val="24"/>
          <w:lang w:val="en-GB"/>
        </w:rPr>
        <w:t xml:space="preserve"> decision making at the levels of the individual firm and industry, Industrial Economics helps us understand such issues as:</w:t>
      </w:r>
    </w:p>
    <w:p w:rsidR="00AD270C" w:rsidRPr="001B509B" w:rsidRDefault="00AD270C" w:rsidP="00AD270C">
      <w:pPr>
        <w:spacing w:after="120"/>
        <w:jc w:val="both"/>
        <w:rPr>
          <w:rFonts w:ascii="Times New Roman" w:hAnsi="Times New Roman"/>
          <w:b/>
          <w:smallCaps/>
          <w:sz w:val="26"/>
          <w:lang w:val="en-GB"/>
        </w:rPr>
      </w:pPr>
    </w:p>
    <w:tbl>
      <w:tblPr>
        <w:tblW w:w="1105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350"/>
        <w:gridCol w:w="4410"/>
        <w:gridCol w:w="3402"/>
      </w:tblGrid>
      <w:tr w:rsidR="00AD270C" w:rsidRPr="001B509B" w:rsidTr="0053142C"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>Week</w:t>
            </w:r>
          </w:p>
        </w:tc>
        <w:tc>
          <w:tcPr>
            <w:tcW w:w="900" w:type="dxa"/>
          </w:tcPr>
          <w:p w:rsidR="00AD270C" w:rsidRPr="001B509B" w:rsidRDefault="0053142C" w:rsidP="0053142C">
            <w:pPr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GB"/>
              </w:rPr>
              <w:t>LcHrs</w:t>
            </w:r>
            <w:proofErr w:type="spellEnd"/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  <w:lang w:val="en-GB"/>
              </w:rPr>
              <w:t>Topics of the title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  <w:lang w:val="en-GB"/>
              </w:rPr>
              <w:t>Reference material</w:t>
            </w:r>
          </w:p>
        </w:tc>
      </w:tr>
      <w:tr w:rsidR="00AD270C" w:rsidRPr="001B509B" w:rsidTr="0053142C">
        <w:tc>
          <w:tcPr>
            <w:tcW w:w="11052" w:type="dxa"/>
            <w:gridSpan w:val="5"/>
          </w:tcPr>
          <w:p w:rsidR="00AD270C" w:rsidRPr="001B509B" w:rsidRDefault="00AD270C" w:rsidP="00E62C68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  <w:lang w:val="en-GB"/>
              </w:rPr>
              <w:t>Chapter One: Introduction</w:t>
            </w:r>
          </w:p>
        </w:tc>
      </w:tr>
      <w:tr w:rsidR="00AD270C" w:rsidRPr="001B509B" w:rsidTr="0053142C">
        <w:trPr>
          <w:trHeight w:val="2015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b w:val="0"/>
                <w:i w:val="0"/>
                <w:sz w:val="22"/>
                <w:szCs w:val="22"/>
                <w:lang w:val="en-GB"/>
              </w:rPr>
            </w:pPr>
            <w:r w:rsidRPr="001B509B">
              <w:rPr>
                <w:b w:val="0"/>
                <w:i w:val="0"/>
                <w:sz w:val="22"/>
                <w:szCs w:val="22"/>
                <w:lang w:val="en-GB"/>
              </w:rPr>
              <w:t>1Week</w:t>
            </w:r>
          </w:p>
        </w:tc>
        <w:tc>
          <w:tcPr>
            <w:tcW w:w="900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>3Hours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AD270C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Definition </w:t>
            </w:r>
          </w:p>
          <w:p w:rsidR="00AD270C" w:rsidRPr="001B509B" w:rsidRDefault="00AD270C" w:rsidP="00AD270C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Approaches to Industrial Economics </w:t>
            </w:r>
          </w:p>
          <w:p w:rsidR="00AD270C" w:rsidRPr="001B509B" w:rsidRDefault="00AD270C" w:rsidP="00E62C68">
            <w:pPr>
              <w:spacing w:line="240" w:lineRule="auto"/>
              <w:ind w:left="540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1.2.1.The structure –conduct-performance paradigm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        1.2.2. The Chicago school of Thought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        1.2.3. Institutional Economics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1B509B">
              <w:rPr>
                <w:rFonts w:ascii="Times New Roman" w:hAnsi="Times New Roman"/>
                <w:lang w:val="en-GB"/>
              </w:rPr>
              <w:t>Barthwal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 xml:space="preserve"> ,</w:t>
            </w:r>
            <w:proofErr w:type="gramEnd"/>
            <w:r w:rsidRPr="001B509B">
              <w:rPr>
                <w:rFonts w:ascii="Times New Roman" w:hAnsi="Times New Roman"/>
                <w:lang w:val="en-GB"/>
              </w:rPr>
              <w:t xml:space="preserve"> Chapters. 1, page 2-6, chapter 4 page 49-70</w:t>
            </w:r>
          </w:p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1B509B">
              <w:rPr>
                <w:rFonts w:ascii="Times New Roman" w:hAnsi="Times New Roman"/>
                <w:lang w:val="en-GB"/>
              </w:rPr>
              <w:t>Barthwal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 xml:space="preserve"> ,</w:t>
            </w:r>
            <w:proofErr w:type="gramEnd"/>
            <w:r w:rsidRPr="001B509B">
              <w:rPr>
                <w:rFonts w:ascii="Times New Roman" w:hAnsi="Times New Roman"/>
                <w:lang w:val="en-GB"/>
              </w:rPr>
              <w:t xml:space="preserve"> chapter 4,  page 49-70, and  Carlton, D.W. and J.M. </w:t>
            </w:r>
            <w:proofErr w:type="spellStart"/>
            <w:r w:rsidRPr="001B509B">
              <w:rPr>
                <w:rFonts w:ascii="Times New Roman" w:hAnsi="Times New Roman"/>
                <w:lang w:val="en-GB"/>
              </w:rPr>
              <w:t>Perloff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>,  Chapters. 1§ 9 page 2 -10, 331-369</w:t>
            </w:r>
          </w:p>
        </w:tc>
      </w:tr>
      <w:tr w:rsidR="00AD270C" w:rsidRPr="001B509B" w:rsidTr="0053142C">
        <w:trPr>
          <w:trHeight w:val="422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509B">
              <w:rPr>
                <w:rFonts w:ascii="Times New Roman" w:hAnsi="Times New Roman"/>
                <w:b/>
                <w:lang w:val="en-GB"/>
              </w:rPr>
              <w:t>Chapter Two: The Theory of the Firms</w:t>
            </w:r>
          </w:p>
        </w:tc>
      </w:tr>
      <w:tr w:rsidR="00AD270C" w:rsidRPr="001B509B" w:rsidTr="0053142C">
        <w:tc>
          <w:tcPr>
            <w:tcW w:w="990" w:type="dxa"/>
            <w:vMerge w:val="restart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 xml:space="preserve">3Week </w:t>
            </w:r>
          </w:p>
        </w:tc>
        <w:tc>
          <w:tcPr>
            <w:tcW w:w="900" w:type="dxa"/>
            <w:vMerge w:val="restart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>9Hours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2.1. The Life Cycle of Firm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2.2. Modern Theories of Firm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2.2.1. Managerial Theory of Firm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lastRenderedPageBreak/>
              <w:t xml:space="preserve">2.2.2. Principal Agent Theory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>2.2.3. Transaction Cost Theory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1B509B">
              <w:rPr>
                <w:rFonts w:ascii="Times New Roman" w:hAnsi="Times New Roman"/>
                <w:lang w:val="en-GB"/>
              </w:rPr>
              <w:lastRenderedPageBreak/>
              <w:t>Barthwal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 xml:space="preserve"> ,</w:t>
            </w:r>
            <w:proofErr w:type="gramEnd"/>
            <w:r w:rsidRPr="001B509B">
              <w:rPr>
                <w:rFonts w:ascii="Times New Roman" w:hAnsi="Times New Roman"/>
                <w:lang w:val="en-GB"/>
              </w:rPr>
              <w:t xml:space="preserve"> Chapters. 3, page 27-47 </w:t>
            </w:r>
          </w:p>
        </w:tc>
      </w:tr>
      <w:tr w:rsidR="00AD270C" w:rsidRPr="001B509B" w:rsidTr="0053142C">
        <w:trPr>
          <w:trHeight w:val="1160"/>
        </w:trPr>
        <w:tc>
          <w:tcPr>
            <w:tcW w:w="990" w:type="dxa"/>
            <w:vMerge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vMerge/>
          </w:tcPr>
          <w:p w:rsidR="00AD270C" w:rsidRPr="001B509B" w:rsidRDefault="00AD270C" w:rsidP="00E62C6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2.3. The Growth of Firm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2.3.1. </w:t>
            </w:r>
            <w:proofErr w:type="spellStart"/>
            <w:r w:rsidRPr="001B509B">
              <w:rPr>
                <w:rFonts w:ascii="Times New Roman" w:hAnsi="Times New Roman"/>
                <w:lang w:val="en-GB"/>
              </w:rPr>
              <w:t>Downie’s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 xml:space="preserve"> Theory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2.3.2. Penrose’s Theory </w:t>
            </w:r>
          </w:p>
          <w:p w:rsidR="00AD270C" w:rsidRPr="001B509B" w:rsidRDefault="00AD270C" w:rsidP="00E62C68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2.3.3. Mari’s Theory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1B509B">
              <w:rPr>
                <w:rFonts w:ascii="Times New Roman" w:hAnsi="Times New Roman"/>
                <w:lang w:val="en-GB"/>
              </w:rPr>
              <w:t>Barthwal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 xml:space="preserve"> ,</w:t>
            </w:r>
            <w:proofErr w:type="gramEnd"/>
            <w:r w:rsidRPr="001B509B">
              <w:rPr>
                <w:rFonts w:ascii="Times New Roman" w:hAnsi="Times New Roman"/>
                <w:lang w:val="en-GB"/>
              </w:rPr>
              <w:t xml:space="preserve"> Chapters. 15, page 343-359</w:t>
            </w:r>
          </w:p>
        </w:tc>
      </w:tr>
      <w:tr w:rsidR="00AD270C" w:rsidRPr="001B509B" w:rsidTr="0053142C">
        <w:trPr>
          <w:trHeight w:val="440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509B">
              <w:rPr>
                <w:rFonts w:ascii="Times New Roman" w:hAnsi="Times New Roman"/>
                <w:b/>
                <w:lang w:val="en-GB"/>
              </w:rPr>
              <w:t>Chapter Three: Market Concentration</w:t>
            </w:r>
          </w:p>
        </w:tc>
      </w:tr>
      <w:tr w:rsidR="00AD270C" w:rsidRPr="001B509B" w:rsidTr="0053142C">
        <w:trPr>
          <w:trHeight w:val="530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 xml:space="preserve">3weeks </w:t>
            </w:r>
          </w:p>
        </w:tc>
        <w:tc>
          <w:tcPr>
            <w:tcW w:w="900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9hours 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3.1. Nature of Concentration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509B">
              <w:rPr>
                <w:rFonts w:ascii="Times New Roman" w:hAnsi="Times New Roman"/>
                <w:lang w:val="en-GB"/>
              </w:rPr>
              <w:t>3.2. Theory of Concentration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3.3. Measures of Concentration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3.3.1. Concentration Ratio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>3.3.2. The Hirschman-</w:t>
            </w:r>
            <w:proofErr w:type="spellStart"/>
            <w:r w:rsidRPr="001B509B">
              <w:rPr>
                <w:rFonts w:ascii="Times New Roman" w:hAnsi="Times New Roman"/>
                <w:lang w:val="en-GB"/>
              </w:rPr>
              <w:t>Herfindahl</w:t>
            </w:r>
            <w:proofErr w:type="spellEnd"/>
            <w:r w:rsidRPr="001B509B">
              <w:rPr>
                <w:rFonts w:ascii="Times New Roman" w:hAnsi="Times New Roman"/>
                <w:lang w:val="en-GB"/>
              </w:rPr>
              <w:t xml:space="preserve"> Index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3.3.3. The Entropy Index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3.3.4. The Dispersion method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3.3.5The Learner Index </w:t>
            </w:r>
          </w:p>
          <w:p w:rsidR="00AD270C" w:rsidRPr="001B509B" w:rsidRDefault="00AD270C" w:rsidP="00E62C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3.3.6. The determinants of concentration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D270C" w:rsidRPr="001B509B" w:rsidTr="0053142C">
        <w:trPr>
          <w:trHeight w:val="503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jc w:val="center"/>
              <w:rPr>
                <w:rFonts w:ascii="Times New Roman" w:hAnsi="Times New Roman"/>
                <w:b/>
              </w:rPr>
            </w:pPr>
            <w:r w:rsidRPr="001B509B">
              <w:rPr>
                <w:rFonts w:ascii="Times New Roman" w:hAnsi="Times New Roman"/>
                <w:b/>
                <w:bCs/>
              </w:rPr>
              <w:t xml:space="preserve">Chapter Four: Industrial Location Analysis </w:t>
            </w:r>
          </w:p>
        </w:tc>
      </w:tr>
      <w:tr w:rsidR="00AD270C" w:rsidRPr="001B509B" w:rsidTr="0053142C">
        <w:trPr>
          <w:trHeight w:val="769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 xml:space="preserve">1 week </w:t>
            </w:r>
          </w:p>
        </w:tc>
        <w:tc>
          <w:tcPr>
            <w:tcW w:w="900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 3 hours 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4.1. Determinants of Industrial Location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4.2. Approaches to Industrial Location Analysis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509B">
              <w:rPr>
                <w:sz w:val="22"/>
                <w:szCs w:val="22"/>
              </w:rPr>
              <w:t>R.R.Barthwal</w:t>
            </w:r>
            <w:proofErr w:type="spellEnd"/>
            <w:r w:rsidRPr="001B509B">
              <w:rPr>
                <w:sz w:val="22"/>
                <w:szCs w:val="22"/>
              </w:rPr>
              <w:t xml:space="preserve">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Page.No.361-380 </w:t>
            </w:r>
          </w:p>
        </w:tc>
      </w:tr>
      <w:tr w:rsidR="00AD270C" w:rsidRPr="001B509B" w:rsidTr="0053142C">
        <w:trPr>
          <w:trHeight w:val="530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</w:rPr>
              <w:t>Chapter Five: Analysis of Firm Structure</w:t>
            </w:r>
          </w:p>
        </w:tc>
      </w:tr>
      <w:tr w:rsidR="00AD270C" w:rsidRPr="001B509B" w:rsidTr="0053142C">
        <w:trPr>
          <w:trHeight w:val="769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>2 week</w:t>
            </w:r>
          </w:p>
        </w:tc>
        <w:tc>
          <w:tcPr>
            <w:tcW w:w="900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6 hours 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5.1. </w:t>
            </w:r>
            <w:proofErr w:type="spellStart"/>
            <w:r w:rsidRPr="001B509B">
              <w:rPr>
                <w:sz w:val="22"/>
                <w:szCs w:val="22"/>
              </w:rPr>
              <w:t>Organization,Structure,Ownership</w:t>
            </w:r>
            <w:proofErr w:type="spellEnd"/>
            <w:r w:rsidRPr="001B509B">
              <w:rPr>
                <w:sz w:val="22"/>
                <w:szCs w:val="22"/>
              </w:rPr>
              <w:t xml:space="preserve"> and control of Firm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5.2. Goal and Objective of Firm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5.3. Legal Forms of Business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5.4. Structure conduct performance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5.5. Measurement of Market Performance and Market Structure.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509B">
              <w:rPr>
                <w:sz w:val="22"/>
                <w:szCs w:val="22"/>
              </w:rPr>
              <w:t>R.stead,P.Curwen</w:t>
            </w:r>
            <w:proofErr w:type="spellEnd"/>
            <w:r w:rsidRPr="001B509B">
              <w:rPr>
                <w:sz w:val="22"/>
                <w:szCs w:val="22"/>
              </w:rPr>
              <w:t xml:space="preserve"> and </w:t>
            </w:r>
            <w:proofErr w:type="spellStart"/>
            <w:r w:rsidRPr="001B509B">
              <w:rPr>
                <w:sz w:val="22"/>
                <w:szCs w:val="22"/>
              </w:rPr>
              <w:t>K.Lawler</w:t>
            </w:r>
            <w:proofErr w:type="spellEnd"/>
            <w:r w:rsidRPr="001B509B">
              <w:rPr>
                <w:sz w:val="22"/>
                <w:szCs w:val="22"/>
              </w:rPr>
              <w:t xml:space="preserve">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Page No.64-81 </w:t>
            </w:r>
          </w:p>
        </w:tc>
      </w:tr>
      <w:tr w:rsidR="00AD270C" w:rsidRPr="001B509B" w:rsidTr="0053142C">
        <w:trPr>
          <w:trHeight w:val="769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</w:rPr>
              <w:t>Chapter Six: Diversification, Integration and Merger</w:t>
            </w:r>
          </w:p>
        </w:tc>
      </w:tr>
      <w:tr w:rsidR="00AD270C" w:rsidRPr="001B509B" w:rsidTr="0053142C">
        <w:trPr>
          <w:trHeight w:val="769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>3 week</w:t>
            </w:r>
          </w:p>
        </w:tc>
        <w:tc>
          <w:tcPr>
            <w:tcW w:w="900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</w:p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     9 hours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6.1. Vertical Integration and Vertical Restrictions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6.2. Vertical Relationship as a solution to Economic Problems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6.3. The reasons for and against vertical Integration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6.4. Merger and Takeover(Motives for Merger) </w:t>
            </w:r>
          </w:p>
          <w:p w:rsidR="00AD270C" w:rsidRPr="001B509B" w:rsidRDefault="00AD270C" w:rsidP="008605FB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>6.5. The effec</w:t>
            </w:r>
            <w:r w:rsidR="008605FB">
              <w:rPr>
                <w:sz w:val="22"/>
                <w:szCs w:val="22"/>
              </w:rPr>
              <w:t xml:space="preserve">ts of Merger on Competition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509B">
              <w:rPr>
                <w:sz w:val="22"/>
                <w:szCs w:val="22"/>
              </w:rPr>
              <w:t>R.R.Barthwal</w:t>
            </w:r>
            <w:proofErr w:type="spellEnd"/>
            <w:r w:rsidRPr="001B509B">
              <w:rPr>
                <w:sz w:val="22"/>
                <w:szCs w:val="22"/>
              </w:rPr>
              <w:t xml:space="preserve">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Page.No.169-187 </w:t>
            </w:r>
          </w:p>
        </w:tc>
      </w:tr>
      <w:tr w:rsidR="00AD270C" w:rsidRPr="001B509B" w:rsidTr="0053142C">
        <w:trPr>
          <w:trHeight w:val="440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</w:rPr>
              <w:t>Chapter Seven: Advertisement</w:t>
            </w:r>
          </w:p>
        </w:tc>
      </w:tr>
      <w:tr w:rsidR="00AD270C" w:rsidRPr="001B509B" w:rsidTr="0053142C">
        <w:trPr>
          <w:trHeight w:val="769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>1 week</w:t>
            </w:r>
          </w:p>
        </w:tc>
        <w:tc>
          <w:tcPr>
            <w:tcW w:w="900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 xml:space="preserve">3 hours </w:t>
            </w:r>
          </w:p>
        </w:tc>
        <w:tc>
          <w:tcPr>
            <w:tcW w:w="5760" w:type="dxa"/>
            <w:gridSpan w:val="2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7.1. Information and Advertisement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>7.2</w:t>
            </w:r>
            <w:bookmarkStart w:id="0" w:name="_GoBack"/>
            <w:bookmarkEnd w:id="0"/>
            <w:r w:rsidRPr="001B509B">
              <w:rPr>
                <w:sz w:val="22"/>
                <w:szCs w:val="22"/>
              </w:rPr>
              <w:t xml:space="preserve">. The Social benefit and cost of Advertising.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Dr. K.G.GUPTA(Business Economics)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Page.No.B51-B64 </w:t>
            </w:r>
          </w:p>
        </w:tc>
      </w:tr>
      <w:tr w:rsidR="00AD270C" w:rsidRPr="001B509B" w:rsidTr="0053142C">
        <w:trPr>
          <w:trHeight w:val="413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</w:rPr>
              <w:lastRenderedPageBreak/>
              <w:t>Chapter Eight: Technological Progress</w:t>
            </w:r>
          </w:p>
        </w:tc>
      </w:tr>
      <w:tr w:rsidR="00AD270C" w:rsidRPr="001B509B" w:rsidTr="0053142C">
        <w:trPr>
          <w:trHeight w:val="548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>1 week</w:t>
            </w:r>
          </w:p>
        </w:tc>
        <w:tc>
          <w:tcPr>
            <w:tcW w:w="2250" w:type="dxa"/>
            <w:gridSpan w:val="2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>3 hours</w:t>
            </w:r>
          </w:p>
        </w:tc>
        <w:tc>
          <w:tcPr>
            <w:tcW w:w="4410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8.1. Stages of Technological change </w:t>
            </w:r>
          </w:p>
          <w:p w:rsidR="00AD270C" w:rsidRPr="001B509B" w:rsidRDefault="00AD270C" w:rsidP="008605FB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>8.2. Invention, Innovation and Diffusion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B509B">
              <w:rPr>
                <w:sz w:val="22"/>
                <w:szCs w:val="22"/>
              </w:rPr>
              <w:t>R.R.Barthwal</w:t>
            </w:r>
            <w:proofErr w:type="spellEnd"/>
            <w:r w:rsidRPr="001B509B">
              <w:rPr>
                <w:sz w:val="22"/>
                <w:szCs w:val="22"/>
              </w:rPr>
              <w:t xml:space="preserve">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Page.No188-210 </w:t>
            </w:r>
          </w:p>
        </w:tc>
      </w:tr>
      <w:tr w:rsidR="00AD270C" w:rsidRPr="001B509B" w:rsidTr="0053142C">
        <w:trPr>
          <w:trHeight w:val="332"/>
        </w:trPr>
        <w:tc>
          <w:tcPr>
            <w:tcW w:w="11052" w:type="dxa"/>
            <w:gridSpan w:val="5"/>
          </w:tcPr>
          <w:p w:rsidR="00AD270C" w:rsidRPr="001B509B" w:rsidRDefault="00AD270C" w:rsidP="00E62C68">
            <w:pPr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b/>
                <w:bCs/>
              </w:rPr>
              <w:t xml:space="preserve">                                                         Chapter Nine: Industrial policy</w:t>
            </w:r>
          </w:p>
        </w:tc>
      </w:tr>
      <w:tr w:rsidR="00AD270C" w:rsidRPr="001B509B" w:rsidTr="0053142C">
        <w:trPr>
          <w:trHeight w:val="769"/>
        </w:trPr>
        <w:tc>
          <w:tcPr>
            <w:tcW w:w="990" w:type="dxa"/>
          </w:tcPr>
          <w:p w:rsidR="00AD270C" w:rsidRPr="001B509B" w:rsidRDefault="00AD270C" w:rsidP="00E62C68">
            <w:pPr>
              <w:pStyle w:val="UoSTemplateHEADING2"/>
              <w:numPr>
                <w:ilvl w:val="0"/>
                <w:numId w:val="0"/>
              </w:numPr>
              <w:tabs>
                <w:tab w:val="num" w:pos="1440"/>
              </w:tabs>
              <w:spacing w:before="0" w:after="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1B509B">
              <w:rPr>
                <w:i w:val="0"/>
                <w:sz w:val="22"/>
                <w:szCs w:val="22"/>
                <w:lang w:val="en-GB"/>
              </w:rPr>
              <w:t>1 week</w:t>
            </w:r>
          </w:p>
        </w:tc>
        <w:tc>
          <w:tcPr>
            <w:tcW w:w="2250" w:type="dxa"/>
            <w:gridSpan w:val="2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  <w:r w:rsidRPr="001B509B">
              <w:rPr>
                <w:rFonts w:ascii="Times New Roman" w:hAnsi="Times New Roman"/>
                <w:lang w:val="en-GB"/>
              </w:rPr>
              <w:t>3 hours</w:t>
            </w:r>
          </w:p>
        </w:tc>
        <w:tc>
          <w:tcPr>
            <w:tcW w:w="4410" w:type="dxa"/>
          </w:tcPr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9.1. Government Intervention </w:t>
            </w:r>
          </w:p>
          <w:p w:rsidR="00AD270C" w:rsidRPr="001B509B" w:rsidRDefault="00AD270C" w:rsidP="00E62C68">
            <w:pPr>
              <w:pStyle w:val="Default"/>
              <w:rPr>
                <w:sz w:val="22"/>
                <w:szCs w:val="22"/>
              </w:rPr>
            </w:pPr>
            <w:r w:rsidRPr="001B509B">
              <w:rPr>
                <w:sz w:val="22"/>
                <w:szCs w:val="22"/>
              </w:rPr>
              <w:t xml:space="preserve">9.2. Review of Focuses of the Ethiopian Industrial Policy </w:t>
            </w:r>
          </w:p>
        </w:tc>
        <w:tc>
          <w:tcPr>
            <w:tcW w:w="3402" w:type="dxa"/>
          </w:tcPr>
          <w:p w:rsidR="00AD270C" w:rsidRPr="001B509B" w:rsidRDefault="00AD270C" w:rsidP="00E62C68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D270C" w:rsidRPr="001B509B" w:rsidRDefault="00AD270C" w:rsidP="00AD270C">
      <w:pPr>
        <w:spacing w:line="360" w:lineRule="auto"/>
        <w:jc w:val="both"/>
        <w:rPr>
          <w:rFonts w:ascii="Times New Roman" w:hAnsi="Times New Roman"/>
          <w:bCs/>
          <w:lang w:val="en-GB" w:eastAsia="en-GB"/>
        </w:rPr>
      </w:pPr>
      <w:r w:rsidRPr="001B509B">
        <w:rPr>
          <w:rFonts w:ascii="Times New Roman" w:hAnsi="Times New Roman"/>
          <w:b/>
          <w:bCs/>
          <w:lang w:val="en-GB" w:eastAsia="en-GB"/>
        </w:rPr>
        <w:t xml:space="preserve">**NB: </w:t>
      </w:r>
      <w:r w:rsidRPr="001B509B">
        <w:rPr>
          <w:rFonts w:ascii="Times New Roman" w:hAnsi="Times New Roman"/>
          <w:bCs/>
          <w:lang w:val="en-GB" w:eastAsia="en-GB"/>
        </w:rPr>
        <w:t>This course needs practical observation in a field so that the theoretical concepts verified through practical observation. The load for the course is indicated in the load distribution of the course.</w:t>
      </w:r>
    </w:p>
    <w:p w:rsidR="00AD270C" w:rsidRPr="002F4E67" w:rsidRDefault="00AD270C" w:rsidP="00AD270C">
      <w:pPr>
        <w:rPr>
          <w:rFonts w:ascii="Times New Roman" w:hAnsi="Times New Roman"/>
          <w:b/>
          <w:sz w:val="24"/>
          <w:szCs w:val="24"/>
          <w:u w:val="single"/>
          <w:lang w:val="en-GB" w:eastAsia="en-GB"/>
        </w:rPr>
      </w:pPr>
      <w:r w:rsidRPr="002F4E67">
        <w:rPr>
          <w:rFonts w:ascii="Times New Roman" w:hAnsi="Times New Roman"/>
          <w:b/>
          <w:sz w:val="24"/>
          <w:szCs w:val="24"/>
          <w:u w:val="single"/>
          <w:lang w:val="en-GB" w:eastAsia="en-GB"/>
        </w:rPr>
        <w:t xml:space="preserve">Course Policy </w:t>
      </w:r>
    </w:p>
    <w:p w:rsidR="00AD270C" w:rsidRPr="004E6BD3" w:rsidRDefault="00AD270C" w:rsidP="00AD27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3">
        <w:rPr>
          <w:rFonts w:ascii="Times New Roman" w:hAnsi="Times New Roman"/>
          <w:sz w:val="24"/>
          <w:szCs w:val="24"/>
        </w:rPr>
        <w:t xml:space="preserve">Late coming is not allowed and no student is </w:t>
      </w:r>
      <w:r>
        <w:rPr>
          <w:rFonts w:ascii="Times New Roman" w:hAnsi="Times New Roman"/>
          <w:sz w:val="24"/>
          <w:szCs w:val="24"/>
        </w:rPr>
        <w:t>allowed</w:t>
      </w:r>
      <w:r w:rsidRPr="004E6BD3">
        <w:rPr>
          <w:rFonts w:ascii="Times New Roman" w:hAnsi="Times New Roman"/>
          <w:sz w:val="24"/>
          <w:szCs w:val="24"/>
        </w:rPr>
        <w:t xml:space="preserve"> to enter after class has started. </w:t>
      </w:r>
    </w:p>
    <w:p w:rsidR="00AD270C" w:rsidRPr="004E6BD3" w:rsidRDefault="00AD270C" w:rsidP="00AD27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3">
        <w:rPr>
          <w:rFonts w:ascii="Times New Roman" w:hAnsi="Times New Roman"/>
          <w:sz w:val="24"/>
          <w:szCs w:val="24"/>
        </w:rPr>
        <w:t>Duplication of assignments is s</w:t>
      </w:r>
      <w:r>
        <w:rPr>
          <w:rFonts w:ascii="Times New Roman" w:hAnsi="Times New Roman"/>
          <w:sz w:val="24"/>
          <w:szCs w:val="24"/>
        </w:rPr>
        <w:t>trictly forbidden; it entails serious</w:t>
      </w:r>
      <w:r w:rsidRPr="004E6BD3">
        <w:rPr>
          <w:rFonts w:ascii="Times New Roman" w:hAnsi="Times New Roman"/>
          <w:sz w:val="24"/>
          <w:szCs w:val="24"/>
        </w:rPr>
        <w:t xml:space="preserve"> penalty. </w:t>
      </w:r>
    </w:p>
    <w:p w:rsidR="00AD270C" w:rsidRPr="004E6BD3" w:rsidRDefault="00AD270C" w:rsidP="00AD27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D3">
        <w:rPr>
          <w:rFonts w:ascii="Times New Roman" w:hAnsi="Times New Roman"/>
          <w:sz w:val="24"/>
          <w:szCs w:val="24"/>
        </w:rPr>
        <w:t>Assignments are required to be submitted before or on the deadline.</w:t>
      </w:r>
    </w:p>
    <w:p w:rsidR="00AD270C" w:rsidRDefault="00AD270C" w:rsidP="00AD27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E6BD3">
        <w:rPr>
          <w:rFonts w:ascii="Times New Roman" w:hAnsi="Times New Roman"/>
          <w:sz w:val="24"/>
          <w:szCs w:val="24"/>
          <w:lang w:val="en-GB"/>
        </w:rPr>
        <w:t xml:space="preserve">Cheating during exam sessions results in a minimum of </w:t>
      </w:r>
      <w:r>
        <w:rPr>
          <w:rFonts w:ascii="Times New Roman" w:hAnsi="Times New Roman"/>
          <w:sz w:val="24"/>
          <w:szCs w:val="24"/>
          <w:lang w:val="en-GB"/>
        </w:rPr>
        <w:t xml:space="preserve">“F “grade </w:t>
      </w:r>
      <w:r w:rsidRPr="004E6BD3">
        <w:rPr>
          <w:rFonts w:ascii="Times New Roman" w:hAnsi="Times New Roman"/>
          <w:sz w:val="24"/>
          <w:szCs w:val="24"/>
          <w:lang w:val="en-GB"/>
        </w:rPr>
        <w:t xml:space="preserve">while cheating in quizzes and tests is subjected to a zero mark. </w:t>
      </w:r>
      <w:r>
        <w:rPr>
          <w:rFonts w:ascii="Times New Roman" w:hAnsi="Times New Roman"/>
          <w:sz w:val="24"/>
          <w:szCs w:val="24"/>
          <w:lang w:val="en-GB"/>
        </w:rPr>
        <w:t xml:space="preserve">All cheating cases will be reported to the department for further considerations. </w:t>
      </w:r>
    </w:p>
    <w:p w:rsidR="00AD270C" w:rsidRPr="007159EB" w:rsidRDefault="00AD270C" w:rsidP="00AD27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should s</w:t>
      </w:r>
      <w:r w:rsidRPr="000601C4">
        <w:rPr>
          <w:rFonts w:ascii="Times New Roman" w:hAnsi="Times New Roman"/>
          <w:sz w:val="24"/>
          <w:szCs w:val="24"/>
        </w:rPr>
        <w:t xml:space="preserve">witch off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0601C4">
        <w:rPr>
          <w:rFonts w:ascii="Times New Roman" w:hAnsi="Times New Roman"/>
          <w:sz w:val="24"/>
          <w:szCs w:val="24"/>
        </w:rPr>
        <w:t>cell phone</w:t>
      </w:r>
      <w:r>
        <w:rPr>
          <w:rFonts w:ascii="Times New Roman" w:hAnsi="Times New Roman"/>
          <w:sz w:val="24"/>
          <w:szCs w:val="24"/>
        </w:rPr>
        <w:t>s</w:t>
      </w:r>
      <w:r w:rsidRPr="000601C4">
        <w:rPr>
          <w:rFonts w:ascii="Times New Roman" w:hAnsi="Times New Roman"/>
          <w:sz w:val="24"/>
          <w:szCs w:val="24"/>
        </w:rPr>
        <w:t xml:space="preserve"> while </w:t>
      </w:r>
      <w:r>
        <w:rPr>
          <w:rFonts w:ascii="Times New Roman" w:hAnsi="Times New Roman"/>
          <w:sz w:val="24"/>
          <w:szCs w:val="24"/>
        </w:rPr>
        <w:t xml:space="preserve">they </w:t>
      </w:r>
      <w:r w:rsidRPr="000601C4">
        <w:rPr>
          <w:rFonts w:ascii="Times New Roman" w:hAnsi="Times New Roman"/>
          <w:sz w:val="24"/>
          <w:szCs w:val="24"/>
        </w:rPr>
        <w:t>are in class</w:t>
      </w:r>
      <w:r>
        <w:rPr>
          <w:rFonts w:ascii="Times New Roman" w:hAnsi="Times New Roman"/>
          <w:sz w:val="24"/>
          <w:szCs w:val="24"/>
        </w:rPr>
        <w:t xml:space="preserve"> and must </w:t>
      </w:r>
      <w:r w:rsidRPr="007159EB">
        <w:rPr>
          <w:rFonts w:ascii="Times New Roman" w:hAnsi="Times New Roman"/>
          <w:sz w:val="24"/>
          <w:szCs w:val="24"/>
        </w:rPr>
        <w:t xml:space="preserve">keep their cell phones switched off during all kinds of exam sessions. </w:t>
      </w:r>
    </w:p>
    <w:p w:rsidR="00AD270C" w:rsidRPr="004E6BD3" w:rsidRDefault="00AD270C" w:rsidP="00AD270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sz w:val="24"/>
          <w:szCs w:val="24"/>
          <w:lang w:eastAsia="en-GB"/>
        </w:rPr>
        <w:t>s</w:t>
      </w:r>
      <w:r w:rsidRPr="004E6BD3">
        <w:rPr>
          <w:rFonts w:ascii="Times New Roman" w:hAnsi="Times New Roman"/>
          <w:sz w:val="24"/>
          <w:szCs w:val="24"/>
          <w:lang w:eastAsia="en-GB"/>
        </w:rPr>
        <w:t>tudents</w:t>
      </w:r>
      <w:proofErr w:type="gramEnd"/>
      <w:r w:rsidRPr="004E6BD3">
        <w:rPr>
          <w:rFonts w:ascii="Times New Roman" w:hAnsi="Times New Roman"/>
          <w:sz w:val="24"/>
          <w:szCs w:val="24"/>
          <w:lang w:eastAsia="en-GB"/>
        </w:rPr>
        <w:t xml:space="preserve"> must attend 80% of the class for the course. Failure to attend 80% of the class will not allow the student to sit for the final exam. </w:t>
      </w:r>
    </w:p>
    <w:p w:rsidR="00AD270C" w:rsidRPr="00ED424D" w:rsidRDefault="00AD270C" w:rsidP="00AD270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GB"/>
        </w:rPr>
      </w:pPr>
      <w:r w:rsidRPr="004E6BD3">
        <w:rPr>
          <w:rFonts w:ascii="Times New Roman" w:hAnsi="Times New Roman"/>
          <w:sz w:val="24"/>
          <w:szCs w:val="24"/>
          <w:lang w:eastAsia="en-GB"/>
        </w:rPr>
        <w:t xml:space="preserve">Missing a quiz without convincing evidences will earn the students a grade of zero marks in </w:t>
      </w:r>
      <w:r w:rsidRPr="00ED424D">
        <w:rPr>
          <w:rFonts w:ascii="Times New Roman" w:hAnsi="Times New Roman"/>
          <w:sz w:val="24"/>
          <w:szCs w:val="24"/>
          <w:lang w:eastAsia="en-GB"/>
        </w:rPr>
        <w:t>that specific quiz</w:t>
      </w:r>
    </w:p>
    <w:p w:rsidR="0041000F" w:rsidRPr="0053142C" w:rsidRDefault="00AD270C" w:rsidP="0053142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GB"/>
        </w:rPr>
      </w:pPr>
      <w:r w:rsidRPr="00ED424D">
        <w:rPr>
          <w:rFonts w:ascii="Times New Roman" w:hAnsi="Times New Roman"/>
          <w:sz w:val="24"/>
          <w:szCs w:val="24"/>
          <w:lang w:eastAsia="en-GB"/>
        </w:rPr>
        <w:t xml:space="preserve">Since field trips attached to the course are few in number, all students should </w:t>
      </w:r>
      <w:proofErr w:type="gramStart"/>
      <w:r w:rsidRPr="00ED424D">
        <w:rPr>
          <w:rFonts w:ascii="Times New Roman" w:hAnsi="Times New Roman"/>
          <w:sz w:val="24"/>
          <w:szCs w:val="24"/>
          <w:lang w:eastAsia="en-GB"/>
        </w:rPr>
        <w:t>the attend</w:t>
      </w:r>
      <w:proofErr w:type="gramEnd"/>
      <w:r w:rsidRPr="00ED424D">
        <w:rPr>
          <w:rFonts w:ascii="Times New Roman" w:hAnsi="Times New Roman"/>
          <w:sz w:val="24"/>
          <w:szCs w:val="24"/>
          <w:lang w:eastAsia="en-GB"/>
        </w:rPr>
        <w:t xml:space="preserve"> the field trips. </w:t>
      </w:r>
    </w:p>
    <w:p w:rsidR="00AD270C" w:rsidRDefault="00AD270C" w:rsidP="00AD27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Module </w:t>
      </w:r>
      <w:r w:rsidRPr="001E5AB5">
        <w:rPr>
          <w:rFonts w:ascii="Times New Roman" w:hAnsi="Times New Roman"/>
          <w:b/>
          <w:sz w:val="24"/>
          <w:szCs w:val="24"/>
        </w:rPr>
        <w:t>Delivery Method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AD270C" w:rsidRDefault="00AD270C" w:rsidP="00AD27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0F7">
        <w:rPr>
          <w:rFonts w:ascii="Times New Roman" w:hAnsi="Times New Roman"/>
          <w:sz w:val="24"/>
          <w:szCs w:val="24"/>
        </w:rPr>
        <w:t>The delivery method shall be student</w:t>
      </w:r>
      <w:r>
        <w:rPr>
          <w:rFonts w:ascii="Times New Roman" w:hAnsi="Times New Roman"/>
          <w:sz w:val="24"/>
          <w:szCs w:val="24"/>
        </w:rPr>
        <w:t>-</w:t>
      </w:r>
      <w:r w:rsidRPr="005170F7">
        <w:rPr>
          <w:rFonts w:ascii="Times New Roman" w:hAnsi="Times New Roman"/>
          <w:sz w:val="24"/>
          <w:szCs w:val="24"/>
        </w:rPr>
        <w:t xml:space="preserve">centered. Students are highly expected to participate in class works at the middle and end of each session and in group discussions inside and outside of the class. </w:t>
      </w:r>
      <w:r>
        <w:rPr>
          <w:rFonts w:ascii="Times New Roman" w:hAnsi="Times New Roman"/>
          <w:sz w:val="24"/>
          <w:szCs w:val="24"/>
        </w:rPr>
        <w:t xml:space="preserve"> Specifically the course will be delivered through the following methods:</w:t>
      </w:r>
    </w:p>
    <w:p w:rsidR="0041000F" w:rsidRDefault="0041000F" w:rsidP="00AD2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  <w:sectPr w:rsidR="004100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70C" w:rsidRPr="005170F7" w:rsidRDefault="00AD270C" w:rsidP="00AD2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70F7">
        <w:rPr>
          <w:rFonts w:ascii="Times New Roman" w:hAnsi="Times New Roman"/>
          <w:sz w:val="24"/>
        </w:rPr>
        <w:lastRenderedPageBreak/>
        <w:t>Lecture Method</w:t>
      </w:r>
    </w:p>
    <w:p w:rsidR="00AD270C" w:rsidRPr="005170F7" w:rsidRDefault="00AD270C" w:rsidP="00AD27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6F7822">
        <w:rPr>
          <w:rFonts w:ascii="Times New Roman" w:hAnsi="Times New Roman"/>
          <w:sz w:val="24"/>
        </w:rPr>
        <w:t>In-class problem solving</w:t>
      </w:r>
    </w:p>
    <w:p w:rsidR="00AD270C" w:rsidRPr="002170E2" w:rsidRDefault="00AD270C" w:rsidP="00AD270C">
      <w:pPr>
        <w:pStyle w:val="ListParagraph"/>
        <w:numPr>
          <w:ilvl w:val="0"/>
          <w:numId w:val="1"/>
        </w:num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4416">
        <w:rPr>
          <w:rFonts w:ascii="Times New Roman" w:hAnsi="Times New Roman"/>
          <w:sz w:val="24"/>
        </w:rPr>
        <w:lastRenderedPageBreak/>
        <w:t>Group Work</w:t>
      </w:r>
    </w:p>
    <w:p w:rsidR="0041000F" w:rsidRDefault="0041000F" w:rsidP="00AD270C">
      <w:pPr>
        <w:pStyle w:val="ListParagraph"/>
        <w:numPr>
          <w:ilvl w:val="0"/>
          <w:numId w:val="1"/>
        </w:num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sz w:val="24"/>
        </w:rPr>
        <w:sectPr w:rsidR="0041000F" w:rsidSect="004100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</w:rPr>
        <w:t>Assignments</w:t>
      </w:r>
    </w:p>
    <w:p w:rsidR="00AD270C" w:rsidRDefault="00AD270C" w:rsidP="00AD270C">
      <w:p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Assessment Methods</w:t>
      </w:r>
    </w:p>
    <w:p w:rsidR="00AD270C" w:rsidRDefault="00AD270C" w:rsidP="00AD270C">
      <w:pPr>
        <w:tabs>
          <w:tab w:val="left" w:pos="3240"/>
          <w:tab w:val="left" w:pos="38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4B2">
        <w:rPr>
          <w:rFonts w:ascii="Times New Roman" w:hAnsi="Times New Roman"/>
          <w:sz w:val="24"/>
          <w:szCs w:val="24"/>
        </w:rPr>
        <w:t xml:space="preserve">Student evaluation in this </w:t>
      </w:r>
      <w:r>
        <w:rPr>
          <w:rFonts w:ascii="Times New Roman" w:hAnsi="Times New Roman"/>
          <w:sz w:val="24"/>
          <w:szCs w:val="24"/>
        </w:rPr>
        <w:t>module</w:t>
      </w:r>
      <w:r w:rsidRPr="00FA34B2">
        <w:rPr>
          <w:rFonts w:ascii="Times New Roman" w:hAnsi="Times New Roman"/>
          <w:sz w:val="24"/>
          <w:szCs w:val="24"/>
        </w:rPr>
        <w:t xml:space="preserve"> consist both formative and summative assessments including quizzes, test and final exam. Marks will be allocated according to the following grading schedule.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4593"/>
        <w:gridCol w:w="1455"/>
      </w:tblGrid>
      <w:tr w:rsidR="00AD270C" w:rsidRPr="00B91841" w:rsidTr="00E62C68">
        <w:trPr>
          <w:jc w:val="center"/>
        </w:trPr>
        <w:tc>
          <w:tcPr>
            <w:tcW w:w="45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4" w:space="0" w:color="auto"/>
            </w:tcBorders>
            <w:shd w:val="clear" w:color="auto" w:fill="9BBB59"/>
          </w:tcPr>
          <w:p w:rsidR="00AD270C" w:rsidRPr="00B91841" w:rsidRDefault="00AD270C" w:rsidP="00E62C68">
            <w:pPr>
              <w:tabs>
                <w:tab w:val="left" w:pos="324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Assessment method</w:t>
            </w:r>
          </w:p>
        </w:tc>
        <w:tc>
          <w:tcPr>
            <w:tcW w:w="1455" w:type="dxa"/>
            <w:tcBorders>
              <w:top w:val="single" w:sz="8" w:space="0" w:color="B3CC82"/>
              <w:left w:val="single" w:sz="4" w:space="0" w:color="auto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AD270C" w:rsidRPr="00B91841" w:rsidRDefault="00AD270C" w:rsidP="00E62C68">
            <w:pPr>
              <w:tabs>
                <w:tab w:val="left" w:pos="3240"/>
                <w:tab w:val="left" w:pos="3840"/>
              </w:tabs>
              <w:spacing w:after="0" w:line="240" w:lineRule="auto"/>
              <w:ind w:left="492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Weight </w:t>
            </w:r>
          </w:p>
        </w:tc>
      </w:tr>
      <w:tr w:rsidR="00AD270C" w:rsidRPr="00B91841" w:rsidTr="00E62C68">
        <w:trPr>
          <w:trHeight w:val="180"/>
          <w:jc w:val="center"/>
        </w:trPr>
        <w:tc>
          <w:tcPr>
            <w:tcW w:w="4593" w:type="dxa"/>
            <w:tcBorders>
              <w:top w:val="single" w:sz="4" w:space="0" w:color="auto"/>
              <w:right w:val="single" w:sz="4" w:space="0" w:color="auto"/>
            </w:tcBorders>
          </w:tcPr>
          <w:p w:rsidR="00AD270C" w:rsidRPr="000C5547" w:rsidRDefault="00AD270C" w:rsidP="00E62C68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547">
              <w:rPr>
                <w:rFonts w:ascii="Times New Roman" w:hAnsi="Times New Roman"/>
                <w:bCs/>
                <w:sz w:val="24"/>
                <w:szCs w:val="24"/>
              </w:rPr>
              <w:t xml:space="preserve">    Assignment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Indiv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/group)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AD270C" w:rsidRPr="00B91841" w:rsidRDefault="00AD270C" w:rsidP="00E62C68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84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D270C" w:rsidRPr="00B91841" w:rsidTr="00E62C68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</w:tcPr>
          <w:p w:rsidR="00AD270C" w:rsidRPr="00B91841" w:rsidRDefault="00AD270C" w:rsidP="00E62C68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Cs/>
                <w:sz w:val="24"/>
                <w:szCs w:val="24"/>
              </w:rPr>
              <w:t xml:space="preserve">    Quizzes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/Tests</w:t>
            </w:r>
            <w:r w:rsidRPr="00B9184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 of 10</w:t>
            </w:r>
            <w:r w:rsidRPr="00B918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 each)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AD270C" w:rsidRPr="00B91841" w:rsidRDefault="00AD270C" w:rsidP="00E62C68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918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270C" w:rsidRPr="00B91841" w:rsidTr="00E62C68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</w:tcPr>
          <w:p w:rsidR="00AD270C" w:rsidRPr="00B91841" w:rsidRDefault="00AD270C" w:rsidP="00E62C68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Final Exam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AD270C" w:rsidRPr="00B91841" w:rsidRDefault="00AD270C" w:rsidP="00E62C68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sz w:val="24"/>
                <w:szCs w:val="24"/>
              </w:rPr>
              <w:t xml:space="preserve">50 %                                    </w:t>
            </w:r>
          </w:p>
        </w:tc>
      </w:tr>
      <w:tr w:rsidR="00AD270C" w:rsidRPr="00B91841" w:rsidTr="00E62C68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  <w:shd w:val="clear" w:color="auto" w:fill="E6EED5"/>
          </w:tcPr>
          <w:p w:rsidR="00AD270C" w:rsidRPr="00B91841" w:rsidRDefault="00AD270C" w:rsidP="00E62C68">
            <w:pPr>
              <w:tabs>
                <w:tab w:val="left" w:pos="3240"/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Total 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E6EED5"/>
          </w:tcPr>
          <w:p w:rsidR="00AD270C" w:rsidRPr="00B91841" w:rsidRDefault="00AD270C" w:rsidP="00E62C68">
            <w:pPr>
              <w:tabs>
                <w:tab w:val="left" w:pos="3240"/>
                <w:tab w:val="left" w:pos="3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41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AD270C" w:rsidRPr="001B509B" w:rsidRDefault="00AD270C" w:rsidP="00AD27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1B509B">
        <w:rPr>
          <w:rFonts w:ascii="Times New Roman" w:hAnsi="Times New Roman"/>
          <w:b/>
          <w:bCs/>
          <w:sz w:val="24"/>
          <w:szCs w:val="24"/>
          <w:lang w:eastAsia="en-GB"/>
        </w:rPr>
        <w:t>REFERENCES</w:t>
      </w:r>
    </w:p>
    <w:p w:rsidR="00AD270C" w:rsidRPr="001B509B" w:rsidRDefault="00AD270C" w:rsidP="00AD27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1B50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Core Text </w:t>
      </w:r>
    </w:p>
    <w:p w:rsidR="00AD270C" w:rsidRPr="001B509B" w:rsidRDefault="00AD270C" w:rsidP="00AD27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proofErr w:type="spellStart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Barthwal</w:t>
      </w:r>
      <w:proofErr w:type="spellEnd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 xml:space="preserve">, R.R Industrial Economics: An Introductory Text book, Wiley Eastern Limited, New Delhi 1984 </w:t>
      </w:r>
    </w:p>
    <w:p w:rsidR="00AD270C" w:rsidRPr="001B509B" w:rsidRDefault="00AD270C" w:rsidP="00AD27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 xml:space="preserve">Carlton, D.W. and J.M. </w:t>
      </w:r>
      <w:proofErr w:type="spellStart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Perloff</w:t>
      </w:r>
      <w:proofErr w:type="spellEnd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, Modern Industrial Organization. 1990.</w:t>
      </w:r>
    </w:p>
    <w:p w:rsidR="00AD270C" w:rsidRPr="001B509B" w:rsidRDefault="00AD270C" w:rsidP="00AD270C">
      <w:pPr>
        <w:spacing w:line="360" w:lineRule="auto"/>
        <w:ind w:left="360"/>
        <w:jc w:val="both"/>
        <w:rPr>
          <w:rFonts w:ascii="Times New Roman" w:hAnsi="Times New Roman"/>
          <w:b/>
          <w:bCs/>
          <w:sz w:val="2"/>
          <w:szCs w:val="24"/>
          <w:lang w:eastAsia="en-GB"/>
        </w:rPr>
      </w:pPr>
    </w:p>
    <w:p w:rsidR="00AD270C" w:rsidRPr="001B509B" w:rsidRDefault="00AD270C" w:rsidP="00AD270C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1B50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Additional Reading Materials </w:t>
      </w:r>
    </w:p>
    <w:p w:rsidR="00AD270C" w:rsidRPr="001B509B" w:rsidRDefault="00AD270C" w:rsidP="00AD27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proofErr w:type="spellStart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Barthwal</w:t>
      </w:r>
      <w:proofErr w:type="spellEnd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, R.R Industrial Economics: An Introductory Text book, Wiley Eastern Limited, New Delhi 1984.</w:t>
      </w:r>
    </w:p>
    <w:p w:rsidR="00AD270C" w:rsidRPr="001B509B" w:rsidRDefault="00AD270C" w:rsidP="00AD27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Clarke, R. Industrial Economics, Basil Blackwell, 1985.</w:t>
      </w:r>
    </w:p>
    <w:p w:rsidR="00AD270C" w:rsidRPr="001B509B" w:rsidRDefault="00AD270C" w:rsidP="00AD27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 xml:space="preserve">Carlton, D.W. and J.M. </w:t>
      </w:r>
      <w:proofErr w:type="spellStart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Perloff</w:t>
      </w:r>
      <w:proofErr w:type="spellEnd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, Modern Industrial Organization. 1990.</w:t>
      </w:r>
    </w:p>
    <w:p w:rsidR="00AD270C" w:rsidRPr="001B509B" w:rsidRDefault="00AD270C" w:rsidP="00AD27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Ferguson, P.R. and G.J. Ferguson. Industrial economics: Issues and perspectives, 1994.</w:t>
      </w:r>
    </w:p>
    <w:p w:rsidR="004E7AF5" w:rsidRPr="00714DA0" w:rsidRDefault="00AD270C" w:rsidP="00AD2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>eory</w:t>
      </w:r>
      <w:proofErr w:type="spellEnd"/>
      <w:proofErr w:type="gramEnd"/>
      <w:r w:rsidRPr="001B509B">
        <w:rPr>
          <w:rFonts w:ascii="Times New Roman" w:hAnsi="Times New Roman"/>
          <w:bCs/>
          <w:sz w:val="24"/>
          <w:szCs w:val="24"/>
          <w:lang w:val="en-GB" w:eastAsia="en-GB"/>
        </w:rPr>
        <w:t xml:space="preserve"> of Industrial Organisation, MIT Press, 1997.</w:t>
      </w:r>
    </w:p>
    <w:sectPr w:rsidR="004E7AF5" w:rsidRPr="00714DA0" w:rsidSect="004100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0C0"/>
    <w:multiLevelType w:val="multilevel"/>
    <w:tmpl w:val="3534827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29902A75"/>
    <w:multiLevelType w:val="multilevel"/>
    <w:tmpl w:val="EBD8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B49FE"/>
    <w:multiLevelType w:val="hybridMultilevel"/>
    <w:tmpl w:val="CF9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054B"/>
    <w:multiLevelType w:val="multilevel"/>
    <w:tmpl w:val="2206BD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AC5C6F"/>
    <w:multiLevelType w:val="hybridMultilevel"/>
    <w:tmpl w:val="930EF1C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53827DE"/>
    <w:multiLevelType w:val="multilevel"/>
    <w:tmpl w:val="383A7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190593F"/>
    <w:multiLevelType w:val="hybridMultilevel"/>
    <w:tmpl w:val="17161368"/>
    <w:lvl w:ilvl="0" w:tplc="D248D0A2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22113"/>
    <w:multiLevelType w:val="hybridMultilevel"/>
    <w:tmpl w:val="347CF5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F11D12"/>
    <w:multiLevelType w:val="multilevel"/>
    <w:tmpl w:val="7FC4FD46"/>
    <w:lvl w:ilvl="0">
      <w:start w:val="1"/>
      <w:numFmt w:val="decimal"/>
      <w:pStyle w:val="UoSTemplateHEADING1"/>
      <w:lvlText w:val="%1."/>
      <w:lvlJc w:val="left"/>
      <w:pPr>
        <w:tabs>
          <w:tab w:val="num" w:pos="360"/>
        </w:tabs>
        <w:ind w:left="144" w:hanging="144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UoSTemplateHEADING2"/>
      <w:lvlText w:val="%1.%2."/>
      <w:lvlJc w:val="left"/>
      <w:pPr>
        <w:tabs>
          <w:tab w:val="num" w:pos="1440"/>
        </w:tabs>
        <w:ind w:left="864" w:hanging="144"/>
      </w:pPr>
      <w:rPr>
        <w:rFonts w:hint="default"/>
      </w:rPr>
    </w:lvl>
    <w:lvl w:ilvl="2">
      <w:start w:val="1"/>
      <w:numFmt w:val="bullet"/>
      <w:pStyle w:val="textnoparagapCharChar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B0B252B"/>
    <w:multiLevelType w:val="multilevel"/>
    <w:tmpl w:val="65500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6"/>
    <w:rsid w:val="000901A0"/>
    <w:rsid w:val="002F4E67"/>
    <w:rsid w:val="0041000F"/>
    <w:rsid w:val="004E7AF5"/>
    <w:rsid w:val="0053142C"/>
    <w:rsid w:val="0068383E"/>
    <w:rsid w:val="00714DA0"/>
    <w:rsid w:val="007F5BC6"/>
    <w:rsid w:val="008064C6"/>
    <w:rsid w:val="00843591"/>
    <w:rsid w:val="008605FB"/>
    <w:rsid w:val="00886528"/>
    <w:rsid w:val="00AB4E8E"/>
    <w:rsid w:val="00AD270C"/>
    <w:rsid w:val="00B70210"/>
    <w:rsid w:val="00C105DA"/>
    <w:rsid w:val="00EC5090"/>
    <w:rsid w:val="00F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A0"/>
    <w:pPr>
      <w:ind w:left="720"/>
      <w:contextualSpacing/>
    </w:pPr>
    <w:rPr>
      <w:lang w:val="en-GB"/>
    </w:rPr>
  </w:style>
  <w:style w:type="paragraph" w:styleId="BodyText">
    <w:name w:val="Body Text"/>
    <w:basedOn w:val="Normal"/>
    <w:link w:val="BodyTextChar"/>
    <w:rsid w:val="00714DA0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4DA0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714DA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A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D27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D2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D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noparagapCharChar">
    <w:name w:val="text no para gap Char Char"/>
    <w:basedOn w:val="Normal"/>
    <w:rsid w:val="00AD270C"/>
    <w:pPr>
      <w:numPr>
        <w:ilvl w:val="2"/>
        <w:numId w:val="6"/>
      </w:numPr>
      <w:spacing w:after="0" w:line="240" w:lineRule="auto"/>
    </w:pPr>
    <w:rPr>
      <w:rFonts w:ascii="Times New Roman" w:eastAsia="SimSun" w:hAnsi="Times New Roman" w:cs="Arial"/>
      <w:sz w:val="24"/>
      <w:szCs w:val="24"/>
    </w:rPr>
  </w:style>
  <w:style w:type="paragraph" w:customStyle="1" w:styleId="UoSTemplateHEADING2">
    <w:name w:val="UoS Template HEADING2"/>
    <w:basedOn w:val="NormalWeb"/>
    <w:rsid w:val="00AD270C"/>
    <w:pPr>
      <w:numPr>
        <w:ilvl w:val="1"/>
        <w:numId w:val="6"/>
      </w:numPr>
      <w:tabs>
        <w:tab w:val="clear" w:pos="1440"/>
        <w:tab w:val="num" w:pos="360"/>
      </w:tabs>
      <w:autoSpaceDE w:val="0"/>
      <w:autoSpaceDN w:val="0"/>
      <w:spacing w:before="240" w:after="120" w:line="240" w:lineRule="auto"/>
      <w:ind w:left="0" w:firstLine="0"/>
    </w:pPr>
    <w:rPr>
      <w:rFonts w:eastAsia="Times New Roman"/>
      <w:b/>
      <w:bCs/>
      <w:i/>
    </w:rPr>
  </w:style>
  <w:style w:type="paragraph" w:customStyle="1" w:styleId="UoSTemplateHEADING1">
    <w:name w:val="UoS Template HEADING1"/>
    <w:basedOn w:val="Normal"/>
    <w:rsid w:val="00AD270C"/>
    <w:pPr>
      <w:numPr>
        <w:numId w:val="6"/>
      </w:numPr>
      <w:spacing w:before="240" w:after="120" w:line="240" w:lineRule="auto"/>
    </w:pPr>
    <w:rPr>
      <w:rFonts w:ascii="Times New Roman" w:eastAsia="SimSun" w:hAnsi="Times New Roman" w:cs="Angsana New"/>
      <w:b/>
      <w:sz w:val="28"/>
      <w:szCs w:val="24"/>
      <w:lang w:val="en-AU" w:eastAsia="zh-CN"/>
    </w:rPr>
  </w:style>
  <w:style w:type="paragraph" w:styleId="NormalWeb">
    <w:name w:val="Normal (Web)"/>
    <w:basedOn w:val="Normal"/>
    <w:uiPriority w:val="99"/>
    <w:unhideWhenUsed/>
    <w:rsid w:val="00AD270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A0"/>
    <w:pPr>
      <w:ind w:left="720"/>
      <w:contextualSpacing/>
    </w:pPr>
    <w:rPr>
      <w:lang w:val="en-GB"/>
    </w:rPr>
  </w:style>
  <w:style w:type="paragraph" w:styleId="BodyText">
    <w:name w:val="Body Text"/>
    <w:basedOn w:val="Normal"/>
    <w:link w:val="BodyTextChar"/>
    <w:rsid w:val="00714DA0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4DA0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714DA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A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D27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D2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D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noparagapCharChar">
    <w:name w:val="text no para gap Char Char"/>
    <w:basedOn w:val="Normal"/>
    <w:rsid w:val="00AD270C"/>
    <w:pPr>
      <w:numPr>
        <w:ilvl w:val="2"/>
        <w:numId w:val="6"/>
      </w:numPr>
      <w:spacing w:after="0" w:line="240" w:lineRule="auto"/>
    </w:pPr>
    <w:rPr>
      <w:rFonts w:ascii="Times New Roman" w:eastAsia="SimSun" w:hAnsi="Times New Roman" w:cs="Arial"/>
      <w:sz w:val="24"/>
      <w:szCs w:val="24"/>
    </w:rPr>
  </w:style>
  <w:style w:type="paragraph" w:customStyle="1" w:styleId="UoSTemplateHEADING2">
    <w:name w:val="UoS Template HEADING2"/>
    <w:basedOn w:val="NormalWeb"/>
    <w:rsid w:val="00AD270C"/>
    <w:pPr>
      <w:numPr>
        <w:ilvl w:val="1"/>
        <w:numId w:val="6"/>
      </w:numPr>
      <w:tabs>
        <w:tab w:val="clear" w:pos="1440"/>
        <w:tab w:val="num" w:pos="360"/>
      </w:tabs>
      <w:autoSpaceDE w:val="0"/>
      <w:autoSpaceDN w:val="0"/>
      <w:spacing w:before="240" w:after="120" w:line="240" w:lineRule="auto"/>
      <w:ind w:left="0" w:firstLine="0"/>
    </w:pPr>
    <w:rPr>
      <w:rFonts w:eastAsia="Times New Roman"/>
      <w:b/>
      <w:bCs/>
      <w:i/>
    </w:rPr>
  </w:style>
  <w:style w:type="paragraph" w:customStyle="1" w:styleId="UoSTemplateHEADING1">
    <w:name w:val="UoS Template HEADING1"/>
    <w:basedOn w:val="Normal"/>
    <w:rsid w:val="00AD270C"/>
    <w:pPr>
      <w:numPr>
        <w:numId w:val="6"/>
      </w:numPr>
      <w:spacing w:before="240" w:after="120" w:line="240" w:lineRule="auto"/>
    </w:pPr>
    <w:rPr>
      <w:rFonts w:ascii="Times New Roman" w:eastAsia="SimSun" w:hAnsi="Times New Roman" w:cs="Angsana New"/>
      <w:b/>
      <w:sz w:val="28"/>
      <w:szCs w:val="24"/>
      <w:lang w:val="en-AU" w:eastAsia="zh-CN"/>
    </w:rPr>
  </w:style>
  <w:style w:type="paragraph" w:styleId="NormalWeb">
    <w:name w:val="Normal (Web)"/>
    <w:basedOn w:val="Normal"/>
    <w:uiPriority w:val="99"/>
    <w:unhideWhenUsed/>
    <w:rsid w:val="00AD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Mekidela University</dc:creator>
  <cp:keywords/>
  <dc:description/>
  <cp:lastModifiedBy>ismail - [2010]</cp:lastModifiedBy>
  <cp:revision>17</cp:revision>
  <cp:lastPrinted>2020-03-06T06:04:00Z</cp:lastPrinted>
  <dcterms:created xsi:type="dcterms:W3CDTF">2019-02-12T12:14:00Z</dcterms:created>
  <dcterms:modified xsi:type="dcterms:W3CDTF">2020-03-06T06:25:00Z</dcterms:modified>
</cp:coreProperties>
</file>