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7"/>
        <w:gridCol w:w="344"/>
        <w:gridCol w:w="5416"/>
        <w:gridCol w:w="2070"/>
      </w:tblGrid>
      <w:tr w:rsidR="001C2BB1" w:rsidRPr="00FB02B7" w:rsidTr="001F3695">
        <w:trPr>
          <w:trHeight w:val="870"/>
        </w:trPr>
        <w:tc>
          <w:tcPr>
            <w:tcW w:w="9877" w:type="dxa"/>
            <w:gridSpan w:val="4"/>
          </w:tcPr>
          <w:p w:rsidR="001C2BB1" w:rsidRPr="00FB02B7" w:rsidRDefault="001C2BB1" w:rsidP="001F3695">
            <w:pPr>
              <w:ind w:right="194"/>
              <w:rPr>
                <w:rFonts w:ascii="Cambria" w:hAnsi="Cambria" w:cs="Calibri"/>
                <w:b/>
              </w:rPr>
            </w:pPr>
            <w:bookmarkStart w:id="0" w:name="_GoBack"/>
            <w:bookmarkEnd w:id="0"/>
            <w:r w:rsidRPr="00FB02B7">
              <w:rPr>
                <w:rFonts w:ascii="Cambria" w:hAnsi="Cambria" w:cs="Calibri"/>
                <w:b/>
                <w:sz w:val="22"/>
                <w:szCs w:val="22"/>
              </w:rPr>
              <w:t xml:space="preserve">Name of University: </w:t>
            </w:r>
            <w:proofErr w:type="spellStart"/>
            <w:r w:rsidR="004F27D4">
              <w:rPr>
                <w:rFonts w:ascii="Cambria" w:hAnsi="Cambria" w:cs="Calibri"/>
                <w:b/>
                <w:sz w:val="22"/>
                <w:szCs w:val="22"/>
              </w:rPr>
              <w:t>Mekdela</w:t>
            </w:r>
            <w:proofErr w:type="spellEnd"/>
            <w:r w:rsidR="004F27D4">
              <w:rPr>
                <w:rFonts w:ascii="Cambria" w:hAnsi="Cambria" w:cs="Calibri"/>
                <w:b/>
                <w:sz w:val="22"/>
                <w:szCs w:val="22"/>
              </w:rPr>
              <w:t xml:space="preserve"> </w:t>
            </w:r>
            <w:proofErr w:type="spellStart"/>
            <w:r w:rsidR="004F27D4">
              <w:rPr>
                <w:rFonts w:ascii="Cambria" w:hAnsi="Cambria" w:cs="Calibri"/>
                <w:b/>
                <w:sz w:val="22"/>
                <w:szCs w:val="22"/>
              </w:rPr>
              <w:t>A</w:t>
            </w:r>
            <w:r>
              <w:rPr>
                <w:rFonts w:ascii="Cambria" w:hAnsi="Cambria" w:cs="Calibri"/>
                <w:b/>
                <w:sz w:val="22"/>
                <w:szCs w:val="22"/>
              </w:rPr>
              <w:t>mba</w:t>
            </w:r>
            <w:proofErr w:type="spellEnd"/>
            <w:r>
              <w:rPr>
                <w:rFonts w:ascii="Cambria" w:hAnsi="Cambria" w:cs="Calibri"/>
                <w:b/>
                <w:sz w:val="22"/>
                <w:szCs w:val="22"/>
              </w:rPr>
              <w:t xml:space="preserve"> university </w:t>
            </w:r>
          </w:p>
          <w:p w:rsidR="001C2BB1" w:rsidRPr="00FB02B7" w:rsidRDefault="001C2BB1" w:rsidP="001F3695">
            <w:pPr>
              <w:ind w:right="194"/>
              <w:rPr>
                <w:rFonts w:ascii="Cambria" w:hAnsi="Cambria" w:cs="Calibri"/>
                <w:b/>
              </w:rPr>
            </w:pPr>
            <w:r w:rsidRPr="00FB02B7">
              <w:rPr>
                <w:rFonts w:ascii="Cambria" w:hAnsi="Cambria" w:cs="Calibri"/>
                <w:b/>
                <w:sz w:val="22"/>
                <w:szCs w:val="22"/>
              </w:rPr>
              <w:t xml:space="preserve">Name of College/Faculty: </w:t>
            </w:r>
            <w:r w:rsidR="004F27D4">
              <w:rPr>
                <w:rFonts w:ascii="Cambria" w:hAnsi="Cambria" w:cs="Calibri"/>
                <w:b/>
                <w:sz w:val="22"/>
                <w:szCs w:val="22"/>
              </w:rPr>
              <w:t>Business and E</w:t>
            </w:r>
            <w:r>
              <w:rPr>
                <w:rFonts w:ascii="Cambria" w:hAnsi="Cambria" w:cs="Calibri"/>
                <w:b/>
                <w:sz w:val="22"/>
                <w:szCs w:val="22"/>
              </w:rPr>
              <w:t xml:space="preserve">conomics </w:t>
            </w:r>
          </w:p>
          <w:p w:rsidR="001C2BB1" w:rsidRPr="00FB02B7" w:rsidRDefault="001C2BB1" w:rsidP="001C2BB1">
            <w:pPr>
              <w:ind w:right="194"/>
              <w:rPr>
                <w:rFonts w:ascii="Cambria" w:hAnsi="Cambria" w:cs="Calibri"/>
                <w:b/>
                <w:sz w:val="20"/>
                <w:szCs w:val="20"/>
              </w:rPr>
            </w:pPr>
            <w:r w:rsidRPr="00FB02B7">
              <w:rPr>
                <w:rFonts w:ascii="Cambria" w:hAnsi="Cambria" w:cs="Calibri"/>
                <w:b/>
                <w:sz w:val="22"/>
                <w:szCs w:val="22"/>
              </w:rPr>
              <w:t xml:space="preserve">Name of Department: </w:t>
            </w:r>
            <w:r w:rsidR="004F27D4">
              <w:rPr>
                <w:rFonts w:ascii="Cambria" w:hAnsi="Cambria" w:cs="Calibri"/>
                <w:b/>
                <w:sz w:val="22"/>
                <w:szCs w:val="22"/>
              </w:rPr>
              <w:t>E</w:t>
            </w:r>
            <w:r>
              <w:rPr>
                <w:rFonts w:ascii="Cambria" w:hAnsi="Cambria" w:cs="Calibri"/>
                <w:b/>
                <w:sz w:val="22"/>
                <w:szCs w:val="22"/>
              </w:rPr>
              <w:t xml:space="preserve">conomics </w:t>
            </w:r>
            <w:r w:rsidRPr="00FB02B7">
              <w:rPr>
                <w:rFonts w:ascii="Cambria" w:hAnsi="Cambria" w:cs="Calibri"/>
                <w:b/>
                <w:sz w:val="22"/>
                <w:szCs w:val="22"/>
              </w:rPr>
              <w:t>Program</w:t>
            </w:r>
          </w:p>
        </w:tc>
      </w:tr>
      <w:tr w:rsidR="001C2BB1" w:rsidRPr="00FB02B7" w:rsidTr="001F3695">
        <w:trPr>
          <w:trHeight w:val="251"/>
        </w:trPr>
        <w:tc>
          <w:tcPr>
            <w:tcW w:w="2047" w:type="dxa"/>
          </w:tcPr>
          <w:p w:rsidR="001C2BB1" w:rsidRPr="005A372B" w:rsidRDefault="005A372B" w:rsidP="001F3695">
            <w:pPr>
              <w:ind w:right="194"/>
              <w:jc w:val="both"/>
              <w:rPr>
                <w:rFonts w:ascii="Nyala" w:hAnsi="Nyala" w:cs="Calibri"/>
                <w:b/>
                <w:szCs w:val="16"/>
              </w:rPr>
            </w:pPr>
            <w:r>
              <w:rPr>
                <w:rFonts w:ascii="Cambria" w:hAnsi="Cambria" w:cs="Calibri"/>
                <w:b/>
                <w:sz w:val="16"/>
                <w:szCs w:val="16"/>
              </w:rPr>
              <w:t xml:space="preserve">Course </w:t>
            </w:r>
            <w:r w:rsidRPr="005A372B">
              <w:rPr>
                <w:rFonts w:ascii="Cambria" w:hAnsi="Cambria" w:cs="Calibri"/>
                <w:sz w:val="22"/>
                <w:szCs w:val="16"/>
              </w:rPr>
              <w:t>code</w:t>
            </w:r>
          </w:p>
        </w:tc>
        <w:tc>
          <w:tcPr>
            <w:tcW w:w="7830" w:type="dxa"/>
            <w:gridSpan w:val="3"/>
          </w:tcPr>
          <w:p w:rsidR="001C2BB1" w:rsidRPr="00FB02B7" w:rsidRDefault="005A372B" w:rsidP="001F3695">
            <w:pPr>
              <w:ind w:right="194"/>
              <w:jc w:val="both"/>
              <w:rPr>
                <w:rFonts w:ascii="Cambria" w:hAnsi="Cambria" w:cs="Calibri"/>
                <w:b/>
                <w:sz w:val="20"/>
                <w:szCs w:val="20"/>
              </w:rPr>
            </w:pPr>
            <w:r>
              <w:rPr>
                <w:rFonts w:ascii="Cambria" w:hAnsi="Cambria" w:cs="Calibri"/>
                <w:b/>
                <w:color w:val="FF0000"/>
                <w:sz w:val="20"/>
                <w:szCs w:val="20"/>
              </w:rPr>
              <w:t>AcFn2112</w:t>
            </w:r>
          </w:p>
        </w:tc>
      </w:tr>
      <w:tr w:rsidR="001C2BB1" w:rsidRPr="00FB02B7" w:rsidTr="001F3695">
        <w:trPr>
          <w:trHeight w:val="265"/>
        </w:trPr>
        <w:tc>
          <w:tcPr>
            <w:tcW w:w="2047" w:type="dxa"/>
          </w:tcPr>
          <w:p w:rsidR="001C2BB1" w:rsidRPr="00FB02B7" w:rsidRDefault="001C2BB1" w:rsidP="001F3695">
            <w:pPr>
              <w:ind w:right="194"/>
              <w:jc w:val="both"/>
              <w:rPr>
                <w:rFonts w:ascii="Cambria" w:hAnsi="Cambria" w:cs="Calibri"/>
                <w:b/>
                <w:sz w:val="16"/>
                <w:szCs w:val="16"/>
              </w:rPr>
            </w:pPr>
            <w:r w:rsidRPr="00FB02B7">
              <w:rPr>
                <w:rFonts w:ascii="Cambria" w:hAnsi="Cambria" w:cs="Calibri"/>
                <w:b/>
                <w:sz w:val="16"/>
                <w:szCs w:val="16"/>
              </w:rPr>
              <w:t>Course Title</w:t>
            </w:r>
          </w:p>
        </w:tc>
        <w:tc>
          <w:tcPr>
            <w:tcW w:w="7830" w:type="dxa"/>
            <w:gridSpan w:val="3"/>
          </w:tcPr>
          <w:p w:rsidR="001C2BB1" w:rsidRPr="00FB02B7" w:rsidRDefault="001C2BB1" w:rsidP="001F3695">
            <w:pPr>
              <w:ind w:right="194"/>
              <w:jc w:val="both"/>
              <w:rPr>
                <w:rFonts w:ascii="Cambria" w:hAnsi="Cambria" w:cs="Calibri"/>
                <w:b/>
                <w:sz w:val="20"/>
                <w:szCs w:val="20"/>
              </w:rPr>
            </w:pPr>
            <w:r w:rsidRPr="00FB02B7">
              <w:rPr>
                <w:rFonts w:ascii="Cambria" w:hAnsi="Cambria" w:cs="Calibri"/>
                <w:b/>
                <w:sz w:val="20"/>
                <w:szCs w:val="20"/>
              </w:rPr>
              <w:t>Principles of Accounting II</w:t>
            </w:r>
          </w:p>
        </w:tc>
      </w:tr>
      <w:tr w:rsidR="001C2BB1" w:rsidRPr="00FB02B7" w:rsidTr="001F3695">
        <w:trPr>
          <w:trHeight w:val="206"/>
        </w:trPr>
        <w:tc>
          <w:tcPr>
            <w:tcW w:w="2047" w:type="dxa"/>
          </w:tcPr>
          <w:p w:rsidR="001C2BB1" w:rsidRPr="00FB02B7" w:rsidRDefault="001C2BB1" w:rsidP="001F3695">
            <w:pPr>
              <w:ind w:right="194"/>
              <w:jc w:val="both"/>
              <w:rPr>
                <w:rFonts w:ascii="Cambria" w:hAnsi="Cambria" w:cs="Calibri"/>
                <w:b/>
                <w:sz w:val="16"/>
                <w:szCs w:val="16"/>
              </w:rPr>
            </w:pPr>
            <w:r w:rsidRPr="00FB02B7">
              <w:rPr>
                <w:rFonts w:ascii="Cambria" w:hAnsi="Cambria" w:cs="Calibri"/>
                <w:b/>
                <w:sz w:val="16"/>
                <w:szCs w:val="16"/>
              </w:rPr>
              <w:t>Degree Program</w:t>
            </w:r>
          </w:p>
        </w:tc>
        <w:tc>
          <w:tcPr>
            <w:tcW w:w="7830" w:type="dxa"/>
            <w:gridSpan w:val="3"/>
          </w:tcPr>
          <w:p w:rsidR="001C2BB1" w:rsidRPr="00FB02B7" w:rsidRDefault="001C2BB1" w:rsidP="001F3695">
            <w:pPr>
              <w:ind w:right="194"/>
              <w:jc w:val="both"/>
              <w:rPr>
                <w:rFonts w:ascii="Cambria" w:hAnsi="Cambria" w:cs="Calibri"/>
                <w:b/>
                <w:sz w:val="20"/>
                <w:szCs w:val="20"/>
              </w:rPr>
            </w:pPr>
            <w:r w:rsidRPr="00FB02B7">
              <w:rPr>
                <w:rFonts w:ascii="Cambria" w:hAnsi="Cambria" w:cs="Calibri"/>
                <w:b/>
                <w:sz w:val="20"/>
                <w:szCs w:val="20"/>
              </w:rPr>
              <w:t xml:space="preserve">BA </w:t>
            </w:r>
            <w:r w:rsidR="005A372B">
              <w:rPr>
                <w:rFonts w:ascii="Cambria" w:hAnsi="Cambria" w:cs="Calibri"/>
                <w:b/>
                <w:sz w:val="20"/>
                <w:szCs w:val="20"/>
              </w:rPr>
              <w:t xml:space="preserve">degree in Management </w:t>
            </w:r>
          </w:p>
        </w:tc>
      </w:tr>
      <w:tr w:rsidR="001C2BB1" w:rsidRPr="00FB02B7" w:rsidTr="001F3695">
        <w:trPr>
          <w:trHeight w:val="251"/>
        </w:trPr>
        <w:tc>
          <w:tcPr>
            <w:tcW w:w="2047" w:type="dxa"/>
          </w:tcPr>
          <w:p w:rsidR="001C2BB1" w:rsidRPr="00FB02B7" w:rsidRDefault="001C2BB1" w:rsidP="001F3695">
            <w:pPr>
              <w:ind w:right="194"/>
              <w:jc w:val="both"/>
              <w:rPr>
                <w:rFonts w:ascii="Cambria" w:hAnsi="Cambria" w:cs="Calibri"/>
                <w:b/>
                <w:sz w:val="16"/>
                <w:szCs w:val="16"/>
              </w:rPr>
            </w:pPr>
            <w:r w:rsidRPr="00FB02B7">
              <w:rPr>
                <w:rFonts w:ascii="Cambria" w:hAnsi="Cambria" w:cs="Calibri"/>
                <w:b/>
                <w:sz w:val="16"/>
                <w:szCs w:val="16"/>
              </w:rPr>
              <w:t>Lecturer</w:t>
            </w:r>
          </w:p>
        </w:tc>
        <w:tc>
          <w:tcPr>
            <w:tcW w:w="7830" w:type="dxa"/>
            <w:gridSpan w:val="3"/>
          </w:tcPr>
          <w:p w:rsidR="001C2BB1" w:rsidRPr="00FB02B7" w:rsidRDefault="008E0772" w:rsidP="006B7500">
            <w:pPr>
              <w:ind w:right="194"/>
              <w:jc w:val="both"/>
              <w:rPr>
                <w:rFonts w:ascii="Cambria" w:hAnsi="Cambria" w:cs="Calibri"/>
                <w:b/>
                <w:sz w:val="20"/>
                <w:szCs w:val="20"/>
              </w:rPr>
            </w:pPr>
            <w:proofErr w:type="spellStart"/>
            <w:r>
              <w:rPr>
                <w:rFonts w:ascii="Cambria" w:hAnsi="Cambria" w:cs="Calibri"/>
                <w:b/>
                <w:sz w:val="20"/>
                <w:szCs w:val="20"/>
              </w:rPr>
              <w:t>Tamiru</w:t>
            </w:r>
            <w:proofErr w:type="spellEnd"/>
            <w:r>
              <w:rPr>
                <w:rFonts w:ascii="Cambria" w:hAnsi="Cambria" w:cs="Calibri"/>
                <w:b/>
                <w:sz w:val="20"/>
                <w:szCs w:val="20"/>
              </w:rPr>
              <w:t xml:space="preserve"> A</w:t>
            </w:r>
            <w:r w:rsidR="001C2BB1">
              <w:rPr>
                <w:rFonts w:ascii="Cambria" w:hAnsi="Cambria" w:cs="Calibri"/>
                <w:b/>
                <w:sz w:val="20"/>
                <w:szCs w:val="20"/>
              </w:rPr>
              <w:t>.</w:t>
            </w:r>
          </w:p>
        </w:tc>
      </w:tr>
      <w:tr w:rsidR="001C2BB1" w:rsidRPr="00FB02B7" w:rsidTr="001F3695">
        <w:trPr>
          <w:trHeight w:val="265"/>
        </w:trPr>
        <w:tc>
          <w:tcPr>
            <w:tcW w:w="2047" w:type="dxa"/>
          </w:tcPr>
          <w:p w:rsidR="001C2BB1" w:rsidRPr="00FB02B7" w:rsidRDefault="001C2BB1" w:rsidP="001F3695">
            <w:pPr>
              <w:ind w:right="194"/>
              <w:jc w:val="both"/>
              <w:rPr>
                <w:rFonts w:ascii="Cambria" w:hAnsi="Cambria" w:cs="Calibri"/>
                <w:b/>
                <w:sz w:val="16"/>
                <w:szCs w:val="16"/>
              </w:rPr>
            </w:pPr>
            <w:r w:rsidRPr="00FB02B7">
              <w:rPr>
                <w:rFonts w:ascii="Cambria" w:hAnsi="Cambria" w:cs="Calibri"/>
                <w:b/>
                <w:sz w:val="16"/>
                <w:szCs w:val="16"/>
              </w:rPr>
              <w:t>ETCTS Credits</w:t>
            </w:r>
          </w:p>
        </w:tc>
        <w:tc>
          <w:tcPr>
            <w:tcW w:w="7830" w:type="dxa"/>
            <w:gridSpan w:val="3"/>
          </w:tcPr>
          <w:p w:rsidR="001C2BB1" w:rsidRPr="00FB02B7" w:rsidRDefault="001C2BB1" w:rsidP="001F3695">
            <w:pPr>
              <w:ind w:right="194"/>
              <w:jc w:val="both"/>
              <w:rPr>
                <w:rFonts w:ascii="Cambria" w:hAnsi="Cambria" w:cs="Calibri"/>
                <w:b/>
                <w:sz w:val="20"/>
                <w:szCs w:val="20"/>
              </w:rPr>
            </w:pPr>
            <w:r>
              <w:rPr>
                <w:rFonts w:ascii="Cambria" w:hAnsi="Cambria" w:cs="Calibri"/>
                <w:b/>
                <w:sz w:val="20"/>
                <w:szCs w:val="20"/>
              </w:rPr>
              <w:t>5</w:t>
            </w:r>
          </w:p>
        </w:tc>
      </w:tr>
      <w:tr w:rsidR="001C2BB1" w:rsidRPr="00FB02B7" w:rsidTr="001F3695">
        <w:trPr>
          <w:trHeight w:val="428"/>
        </w:trPr>
        <w:tc>
          <w:tcPr>
            <w:tcW w:w="2047" w:type="dxa"/>
          </w:tcPr>
          <w:p w:rsidR="001C2BB1" w:rsidRPr="00FB02B7" w:rsidRDefault="001C2BB1" w:rsidP="001F3695">
            <w:pPr>
              <w:ind w:right="194"/>
              <w:jc w:val="both"/>
              <w:rPr>
                <w:rFonts w:ascii="Cambria" w:hAnsi="Cambria" w:cs="Calibri"/>
                <w:b/>
                <w:sz w:val="16"/>
                <w:szCs w:val="16"/>
              </w:rPr>
            </w:pPr>
            <w:r w:rsidRPr="00FB02B7">
              <w:rPr>
                <w:rFonts w:ascii="Cambria" w:hAnsi="Cambria" w:cs="Calibri"/>
                <w:b/>
                <w:sz w:val="16"/>
                <w:szCs w:val="16"/>
              </w:rPr>
              <w:t>Contact Hours (per week)</w:t>
            </w:r>
          </w:p>
        </w:tc>
        <w:tc>
          <w:tcPr>
            <w:tcW w:w="7830" w:type="dxa"/>
            <w:gridSpan w:val="3"/>
          </w:tcPr>
          <w:p w:rsidR="001C2BB1" w:rsidRPr="00FB02B7" w:rsidRDefault="001C2BB1" w:rsidP="001F3695">
            <w:pPr>
              <w:ind w:right="194"/>
              <w:jc w:val="both"/>
              <w:rPr>
                <w:rFonts w:ascii="Cambria" w:hAnsi="Cambria" w:cs="Calibri"/>
                <w:b/>
                <w:sz w:val="20"/>
                <w:szCs w:val="20"/>
              </w:rPr>
            </w:pPr>
            <w:r>
              <w:rPr>
                <w:rFonts w:ascii="Cambria" w:hAnsi="Cambria" w:cs="Calibri"/>
                <w:b/>
                <w:sz w:val="20"/>
                <w:szCs w:val="20"/>
              </w:rPr>
              <w:t>3</w:t>
            </w:r>
          </w:p>
        </w:tc>
      </w:tr>
      <w:tr w:rsidR="001C2BB1" w:rsidRPr="00FB02B7" w:rsidTr="001C2BB1">
        <w:trPr>
          <w:trHeight w:val="2483"/>
        </w:trPr>
        <w:tc>
          <w:tcPr>
            <w:tcW w:w="2047" w:type="dxa"/>
          </w:tcPr>
          <w:p w:rsidR="001C2BB1" w:rsidRPr="00FB02B7" w:rsidRDefault="001C2BB1" w:rsidP="001F3695">
            <w:pPr>
              <w:ind w:right="194"/>
              <w:jc w:val="both"/>
              <w:rPr>
                <w:rFonts w:ascii="Cambria" w:hAnsi="Cambria" w:cs="Calibri"/>
                <w:b/>
                <w:sz w:val="16"/>
                <w:szCs w:val="16"/>
              </w:rPr>
            </w:pPr>
          </w:p>
          <w:p w:rsidR="001C2BB1" w:rsidRPr="00FB02B7" w:rsidRDefault="001C2BB1" w:rsidP="001F3695">
            <w:pPr>
              <w:ind w:right="194"/>
              <w:jc w:val="both"/>
              <w:rPr>
                <w:rFonts w:ascii="Cambria" w:hAnsi="Cambria" w:cs="Calibri"/>
                <w:b/>
                <w:sz w:val="16"/>
                <w:szCs w:val="16"/>
              </w:rPr>
            </w:pPr>
          </w:p>
          <w:p w:rsidR="001C2BB1" w:rsidRPr="00FB02B7" w:rsidRDefault="001C2BB1" w:rsidP="001F3695">
            <w:pPr>
              <w:ind w:right="194"/>
              <w:jc w:val="both"/>
              <w:rPr>
                <w:rFonts w:ascii="Cambria" w:hAnsi="Cambria" w:cs="Calibri"/>
                <w:b/>
              </w:rPr>
            </w:pPr>
            <w:r w:rsidRPr="00FB02B7">
              <w:rPr>
                <w:rFonts w:ascii="Cambria" w:hAnsi="Cambria" w:cs="Calibri"/>
                <w:b/>
                <w:sz w:val="22"/>
                <w:szCs w:val="22"/>
              </w:rPr>
              <w:t>Course Objectives &amp; Competences to be Acquired</w:t>
            </w:r>
          </w:p>
        </w:tc>
        <w:tc>
          <w:tcPr>
            <w:tcW w:w="7830" w:type="dxa"/>
            <w:gridSpan w:val="3"/>
          </w:tcPr>
          <w:p w:rsidR="001C2BB1" w:rsidRPr="00FB02B7" w:rsidRDefault="001C2BB1" w:rsidP="001F3695">
            <w:pPr>
              <w:pStyle w:val="Default"/>
              <w:ind w:right="194"/>
              <w:jc w:val="both"/>
              <w:rPr>
                <w:rFonts w:ascii="Cambria" w:hAnsi="Cambria" w:cs="Calibri"/>
                <w:color w:val="auto"/>
                <w:sz w:val="22"/>
                <w:szCs w:val="22"/>
              </w:rPr>
            </w:pPr>
            <w:r w:rsidRPr="00FB02B7">
              <w:rPr>
                <w:rFonts w:ascii="Cambria" w:hAnsi="Cambria" w:cs="Calibri"/>
                <w:color w:val="auto"/>
                <w:sz w:val="22"/>
                <w:szCs w:val="22"/>
              </w:rPr>
              <w:t xml:space="preserve"> The course has the general objective of introducing students to the accounting basics of recognizing, measuring, and reporting common balance sheet items. </w:t>
            </w:r>
          </w:p>
          <w:p w:rsidR="001C2BB1" w:rsidRPr="00FB02B7" w:rsidRDefault="001C2BB1" w:rsidP="001F3695">
            <w:pPr>
              <w:pStyle w:val="Default"/>
              <w:ind w:right="194"/>
              <w:jc w:val="both"/>
              <w:rPr>
                <w:rFonts w:ascii="Cambria" w:hAnsi="Cambria" w:cs="Calibri"/>
                <w:color w:val="auto"/>
                <w:sz w:val="22"/>
                <w:szCs w:val="22"/>
              </w:rPr>
            </w:pPr>
            <w:r w:rsidRPr="00FB02B7">
              <w:rPr>
                <w:rFonts w:ascii="Cambria" w:hAnsi="Cambria" w:cs="Calibri"/>
                <w:color w:val="auto"/>
                <w:sz w:val="22"/>
                <w:szCs w:val="22"/>
              </w:rPr>
              <w:t xml:space="preserve">Upon the successful completion of this course, the students will be expected to: </w:t>
            </w:r>
          </w:p>
          <w:p w:rsidR="001C2BB1" w:rsidRPr="00FB02B7" w:rsidRDefault="001C2BB1" w:rsidP="001C2BB1">
            <w:pPr>
              <w:numPr>
                <w:ilvl w:val="0"/>
                <w:numId w:val="2"/>
              </w:numPr>
              <w:ind w:right="194"/>
              <w:jc w:val="both"/>
              <w:rPr>
                <w:rFonts w:ascii="Cambria" w:hAnsi="Cambria" w:cs="Calibri"/>
              </w:rPr>
            </w:pPr>
            <w:r w:rsidRPr="00FB02B7">
              <w:rPr>
                <w:rFonts w:ascii="Cambria" w:hAnsi="Cambria" w:cs="Calibri"/>
                <w:sz w:val="22"/>
                <w:szCs w:val="22"/>
              </w:rPr>
              <w:t>Analyze and record payroll transactions in Ethiopian context.</w:t>
            </w:r>
          </w:p>
          <w:p w:rsidR="001C2BB1" w:rsidRPr="00FB02B7" w:rsidRDefault="001C2BB1" w:rsidP="001C2BB1">
            <w:pPr>
              <w:numPr>
                <w:ilvl w:val="0"/>
                <w:numId w:val="2"/>
              </w:numPr>
              <w:ind w:right="194"/>
              <w:jc w:val="both"/>
              <w:rPr>
                <w:rFonts w:ascii="Cambria" w:hAnsi="Cambria" w:cs="Calibri"/>
              </w:rPr>
            </w:pPr>
            <w:r w:rsidRPr="00FB02B7">
              <w:rPr>
                <w:rFonts w:ascii="Cambria" w:hAnsi="Cambria" w:cs="Calibri"/>
                <w:sz w:val="22"/>
                <w:szCs w:val="22"/>
              </w:rPr>
              <w:t>Utilize and identify the implication of the various methods of valuation in respect to accounts and notes receivable, inventories, depreciation, tangible and intangible assets, and natural resources.</w:t>
            </w:r>
          </w:p>
          <w:p w:rsidR="001C2BB1" w:rsidRPr="00FB02B7" w:rsidRDefault="001C2BB1" w:rsidP="001C2BB1">
            <w:pPr>
              <w:numPr>
                <w:ilvl w:val="0"/>
                <w:numId w:val="2"/>
              </w:numPr>
              <w:ind w:right="194"/>
              <w:jc w:val="both"/>
              <w:rPr>
                <w:rFonts w:ascii="Cambria" w:hAnsi="Cambria" w:cs="Calibri"/>
                <w:sz w:val="20"/>
                <w:szCs w:val="20"/>
              </w:rPr>
            </w:pPr>
            <w:r w:rsidRPr="00FB02B7">
              <w:rPr>
                <w:rFonts w:ascii="Cambria" w:hAnsi="Cambria" w:cs="Calibri"/>
                <w:sz w:val="22"/>
                <w:szCs w:val="22"/>
              </w:rPr>
              <w:t>Analyze, record and report transactions for businesses organized as partnerships, private limited companies, and share companies</w:t>
            </w:r>
          </w:p>
        </w:tc>
      </w:tr>
      <w:tr w:rsidR="001C2BB1" w:rsidRPr="00FB02B7" w:rsidTr="004F27D4">
        <w:trPr>
          <w:trHeight w:val="800"/>
        </w:trPr>
        <w:tc>
          <w:tcPr>
            <w:tcW w:w="2047" w:type="dxa"/>
          </w:tcPr>
          <w:p w:rsidR="001C2BB1" w:rsidRPr="00FB02B7" w:rsidRDefault="001C2BB1" w:rsidP="001F3695">
            <w:pPr>
              <w:ind w:right="194"/>
              <w:jc w:val="both"/>
              <w:rPr>
                <w:rFonts w:ascii="Cambria" w:hAnsi="Cambria" w:cs="Calibri"/>
                <w:b/>
              </w:rPr>
            </w:pPr>
            <w:r w:rsidRPr="00FB02B7">
              <w:rPr>
                <w:rFonts w:ascii="Cambria" w:hAnsi="Cambria" w:cs="Calibri"/>
                <w:b/>
              </w:rPr>
              <w:t>Course Description</w:t>
            </w:r>
          </w:p>
        </w:tc>
        <w:tc>
          <w:tcPr>
            <w:tcW w:w="7830" w:type="dxa"/>
            <w:gridSpan w:val="3"/>
          </w:tcPr>
          <w:p w:rsidR="001C2BB1" w:rsidRPr="00FB02B7" w:rsidRDefault="001C2BB1" w:rsidP="004F27D4">
            <w:pPr>
              <w:pStyle w:val="Default"/>
              <w:tabs>
                <w:tab w:val="left" w:pos="8814"/>
              </w:tabs>
              <w:ind w:right="194"/>
              <w:jc w:val="both"/>
              <w:rPr>
                <w:rFonts w:ascii="Cambria" w:hAnsi="Cambria" w:cs="Calibri"/>
                <w:color w:val="auto"/>
                <w:sz w:val="22"/>
                <w:szCs w:val="22"/>
              </w:rPr>
            </w:pPr>
            <w:r w:rsidRPr="00FB02B7">
              <w:rPr>
                <w:rFonts w:ascii="Cambria" w:hAnsi="Cambria"/>
                <w:color w:val="auto"/>
                <w:sz w:val="22"/>
                <w:szCs w:val="22"/>
              </w:rPr>
              <w:t xml:space="preserve">This course is a continuation of Principles of Accounting I. The course is designed to introduce students to the application of accounting principles and concepts to major balance sheet items. </w:t>
            </w:r>
          </w:p>
        </w:tc>
      </w:tr>
      <w:tr w:rsidR="001C2BB1" w:rsidRPr="00FB02B7" w:rsidTr="001F3695">
        <w:trPr>
          <w:trHeight w:val="180"/>
        </w:trPr>
        <w:tc>
          <w:tcPr>
            <w:tcW w:w="2391" w:type="dxa"/>
            <w:gridSpan w:val="2"/>
          </w:tcPr>
          <w:p w:rsidR="001C2BB1" w:rsidRPr="00FB02B7" w:rsidRDefault="001C2BB1" w:rsidP="001F3695">
            <w:pPr>
              <w:ind w:right="194"/>
              <w:jc w:val="both"/>
              <w:rPr>
                <w:rFonts w:ascii="Cambria" w:hAnsi="Cambria" w:cs="Calibri"/>
                <w:b/>
              </w:rPr>
            </w:pPr>
            <w:r w:rsidRPr="00FB02B7">
              <w:rPr>
                <w:rFonts w:ascii="Cambria" w:hAnsi="Cambria" w:cs="Calibri"/>
                <w:b/>
                <w:sz w:val="22"/>
                <w:szCs w:val="22"/>
              </w:rPr>
              <w:t>WEEKS</w:t>
            </w:r>
          </w:p>
        </w:tc>
        <w:tc>
          <w:tcPr>
            <w:tcW w:w="5416" w:type="dxa"/>
          </w:tcPr>
          <w:p w:rsidR="001C2BB1" w:rsidRPr="00FB02B7" w:rsidRDefault="001C2BB1" w:rsidP="001F3695">
            <w:pPr>
              <w:ind w:right="194"/>
              <w:jc w:val="both"/>
              <w:rPr>
                <w:rFonts w:ascii="Cambria" w:hAnsi="Cambria" w:cs="Calibri"/>
                <w:b/>
              </w:rPr>
            </w:pPr>
            <w:r w:rsidRPr="00FB02B7">
              <w:rPr>
                <w:rFonts w:ascii="Cambria" w:hAnsi="Cambria" w:cs="Calibri"/>
                <w:b/>
                <w:sz w:val="22"/>
                <w:szCs w:val="22"/>
              </w:rPr>
              <w:t>Course Contents</w:t>
            </w:r>
          </w:p>
        </w:tc>
        <w:tc>
          <w:tcPr>
            <w:tcW w:w="2070" w:type="dxa"/>
          </w:tcPr>
          <w:p w:rsidR="001C2BB1" w:rsidRPr="00FB02B7" w:rsidRDefault="001C2BB1" w:rsidP="001F3695">
            <w:pPr>
              <w:ind w:right="194"/>
              <w:jc w:val="both"/>
              <w:rPr>
                <w:rFonts w:ascii="Cambria" w:hAnsi="Cambria" w:cs="Calibri"/>
                <w:b/>
              </w:rPr>
            </w:pPr>
            <w:r w:rsidRPr="00FB02B7">
              <w:rPr>
                <w:rFonts w:ascii="Cambria" w:hAnsi="Cambria" w:cs="Calibri"/>
                <w:b/>
                <w:sz w:val="22"/>
                <w:szCs w:val="22"/>
              </w:rPr>
              <w:t>Reading</w:t>
            </w:r>
          </w:p>
        </w:tc>
      </w:tr>
      <w:tr w:rsidR="001C2BB1" w:rsidRPr="00FB02B7" w:rsidTr="001F3695">
        <w:trPr>
          <w:trHeight w:val="2355"/>
        </w:trPr>
        <w:tc>
          <w:tcPr>
            <w:tcW w:w="2391" w:type="dxa"/>
            <w:gridSpan w:val="2"/>
          </w:tcPr>
          <w:p w:rsidR="001C2BB1" w:rsidRPr="00FB02B7" w:rsidRDefault="001C2BB1" w:rsidP="001F3695">
            <w:pPr>
              <w:ind w:right="194"/>
              <w:jc w:val="both"/>
              <w:rPr>
                <w:rFonts w:ascii="Cambria" w:hAnsi="Cambria" w:cs="Calibri"/>
                <w:b/>
                <w:sz w:val="20"/>
                <w:szCs w:val="20"/>
              </w:rPr>
            </w:pPr>
            <w:r w:rsidRPr="00FB02B7">
              <w:rPr>
                <w:rFonts w:ascii="Cambria" w:hAnsi="Cambria" w:cs="Calibri"/>
                <w:b/>
                <w:sz w:val="20"/>
                <w:szCs w:val="20"/>
              </w:rPr>
              <w:t>3 WEEKS</w:t>
            </w:r>
          </w:p>
          <w:p w:rsidR="001C2BB1" w:rsidRPr="00FB02B7" w:rsidRDefault="001C2BB1" w:rsidP="001F3695">
            <w:pPr>
              <w:ind w:right="194"/>
              <w:jc w:val="both"/>
              <w:rPr>
                <w:rFonts w:ascii="Cambria" w:hAnsi="Cambria" w:cs="Calibri"/>
                <w:b/>
                <w:sz w:val="20"/>
                <w:szCs w:val="20"/>
              </w:rPr>
            </w:pPr>
            <w:r w:rsidRPr="00FB02B7">
              <w:rPr>
                <w:rFonts w:ascii="Cambria" w:hAnsi="Cambria" w:cs="Calibri"/>
                <w:b/>
                <w:sz w:val="20"/>
                <w:szCs w:val="20"/>
              </w:rPr>
              <w:t>{1</w:t>
            </w:r>
            <w:r w:rsidRPr="00FB02B7">
              <w:rPr>
                <w:rFonts w:ascii="Cambria" w:hAnsi="Cambria" w:cs="Calibri"/>
                <w:b/>
                <w:sz w:val="20"/>
                <w:szCs w:val="20"/>
                <w:vertAlign w:val="superscript"/>
              </w:rPr>
              <w:t>ST</w:t>
            </w:r>
            <w:r w:rsidRPr="00FB02B7">
              <w:rPr>
                <w:rFonts w:ascii="Cambria" w:hAnsi="Cambria" w:cs="Calibri"/>
                <w:b/>
                <w:sz w:val="20"/>
                <w:szCs w:val="20"/>
              </w:rPr>
              <w:t>,2</w:t>
            </w:r>
            <w:r w:rsidRPr="00FB02B7">
              <w:rPr>
                <w:rFonts w:ascii="Cambria" w:hAnsi="Cambria" w:cs="Calibri"/>
                <w:b/>
                <w:sz w:val="20"/>
                <w:szCs w:val="20"/>
                <w:vertAlign w:val="superscript"/>
              </w:rPr>
              <w:t>ND</w:t>
            </w:r>
            <w:r w:rsidRPr="00FB02B7">
              <w:rPr>
                <w:rFonts w:ascii="Cambria" w:hAnsi="Cambria" w:cs="Calibri"/>
                <w:b/>
                <w:sz w:val="20"/>
                <w:szCs w:val="20"/>
              </w:rPr>
              <w:t>&amp;3</w:t>
            </w:r>
            <w:r w:rsidRPr="00FB02B7">
              <w:rPr>
                <w:rFonts w:ascii="Cambria" w:hAnsi="Cambria" w:cs="Calibri"/>
                <w:b/>
                <w:sz w:val="20"/>
                <w:szCs w:val="20"/>
                <w:vertAlign w:val="superscript"/>
              </w:rPr>
              <w:t>RD</w:t>
            </w:r>
            <w:r w:rsidRPr="00FB02B7">
              <w:rPr>
                <w:rFonts w:ascii="Cambria" w:hAnsi="Cambria" w:cs="Calibri"/>
                <w:b/>
                <w:sz w:val="20"/>
                <w:szCs w:val="20"/>
              </w:rPr>
              <w:t xml:space="preserve"> }</w:t>
            </w:r>
          </w:p>
        </w:tc>
        <w:tc>
          <w:tcPr>
            <w:tcW w:w="5416" w:type="dxa"/>
          </w:tcPr>
          <w:p w:rsidR="001C2BB1" w:rsidRPr="001C2BB1" w:rsidRDefault="001C2BB1" w:rsidP="001C2BB1">
            <w:pPr>
              <w:pStyle w:val="ListParagraph"/>
              <w:numPr>
                <w:ilvl w:val="0"/>
                <w:numId w:val="3"/>
              </w:numPr>
              <w:ind w:left="284" w:right="194" w:hanging="284"/>
              <w:jc w:val="both"/>
              <w:rPr>
                <w:rFonts w:ascii="Cambria" w:hAnsi="Cambria" w:cs="Calibri"/>
                <w:lang w:val="en-US" w:eastAsia="en-US"/>
              </w:rPr>
            </w:pPr>
            <w:r w:rsidRPr="00FB02B7">
              <w:rPr>
                <w:rFonts w:ascii="Cambria" w:hAnsi="Cambria" w:cs="Calibri"/>
                <w:lang w:val="en-US" w:eastAsia="en-US"/>
              </w:rPr>
              <w:t xml:space="preserve">Inventories </w:t>
            </w:r>
          </w:p>
          <w:p w:rsidR="001C2BB1" w:rsidRPr="001C2BB1" w:rsidRDefault="001C2BB1" w:rsidP="001C2BB1">
            <w:pPr>
              <w:pStyle w:val="ListParagraph"/>
              <w:numPr>
                <w:ilvl w:val="1"/>
                <w:numId w:val="3"/>
              </w:numPr>
              <w:ind w:right="194"/>
              <w:jc w:val="both"/>
              <w:rPr>
                <w:rFonts w:ascii="Cambria" w:hAnsi="Cambria" w:cs="Calibri"/>
                <w:lang w:val="en-US" w:eastAsia="en-US"/>
              </w:rPr>
            </w:pPr>
            <w:r w:rsidRPr="00FB02B7">
              <w:rPr>
                <w:rFonts w:ascii="Cambria" w:hAnsi="Cambria" w:cs="Calibri"/>
                <w:lang w:val="en-US" w:eastAsia="en-US"/>
              </w:rPr>
              <w:t xml:space="preserve">The effect of inventory errors on the financial statements </w:t>
            </w:r>
            <w:r w:rsidRPr="001C2BB1">
              <w:rPr>
                <w:rFonts w:ascii="Cambria" w:hAnsi="Cambria" w:cs="Calibri"/>
                <w:lang w:val="en-US" w:eastAsia="en-US"/>
              </w:rPr>
              <w:t xml:space="preserve"> </w:t>
            </w:r>
          </w:p>
          <w:p w:rsidR="001C2BB1" w:rsidRDefault="001C2BB1" w:rsidP="001C2BB1">
            <w:pPr>
              <w:pStyle w:val="ListParagraph"/>
              <w:numPr>
                <w:ilvl w:val="1"/>
                <w:numId w:val="3"/>
              </w:numPr>
              <w:ind w:right="194"/>
              <w:jc w:val="both"/>
              <w:rPr>
                <w:rFonts w:ascii="Cambria" w:hAnsi="Cambria" w:cs="Calibri"/>
                <w:lang w:val="en-US" w:eastAsia="en-US"/>
              </w:rPr>
            </w:pPr>
            <w:r w:rsidRPr="00FB02B7">
              <w:rPr>
                <w:rFonts w:ascii="Cambria" w:hAnsi="Cambria" w:cs="Calibri"/>
                <w:lang w:val="en-US" w:eastAsia="en-US"/>
              </w:rPr>
              <w:t>Inventory costing methods under a perpetual and periodic inventory system</w:t>
            </w:r>
          </w:p>
          <w:p w:rsidR="001C2BB1" w:rsidRPr="00FB02B7" w:rsidRDefault="001C2BB1" w:rsidP="001C2BB1">
            <w:pPr>
              <w:pStyle w:val="ListParagraph"/>
              <w:numPr>
                <w:ilvl w:val="1"/>
                <w:numId w:val="3"/>
              </w:numPr>
              <w:ind w:right="194"/>
              <w:jc w:val="both"/>
              <w:rPr>
                <w:rFonts w:ascii="Cambria" w:hAnsi="Cambria" w:cs="Calibri"/>
                <w:lang w:val="en-US" w:eastAsia="en-US"/>
              </w:rPr>
            </w:pPr>
            <w:r w:rsidRPr="001C2BB1">
              <w:rPr>
                <w:rFonts w:ascii="Cambria" w:hAnsi="Cambria" w:cs="Calibri"/>
                <w:lang w:val="en-US" w:eastAsia="en-US"/>
              </w:rPr>
              <w:t>Inventory cost flow assumptions</w:t>
            </w:r>
          </w:p>
          <w:p w:rsidR="001C2BB1" w:rsidRPr="00FB02B7" w:rsidRDefault="001C2BB1" w:rsidP="001C2BB1">
            <w:pPr>
              <w:pStyle w:val="ListParagraph"/>
              <w:numPr>
                <w:ilvl w:val="1"/>
                <w:numId w:val="3"/>
              </w:numPr>
              <w:ind w:right="194"/>
              <w:jc w:val="both"/>
              <w:rPr>
                <w:rFonts w:ascii="Cambria" w:hAnsi="Cambria" w:cs="Calibri"/>
                <w:lang w:val="en-US" w:eastAsia="en-US"/>
              </w:rPr>
            </w:pPr>
            <w:r w:rsidRPr="00FB02B7">
              <w:rPr>
                <w:rFonts w:ascii="Cambria" w:hAnsi="Cambria" w:cs="Calibri"/>
                <w:lang w:val="en-US" w:eastAsia="en-US"/>
              </w:rPr>
              <w:t xml:space="preserve">Valuation of inventory at other than cost </w:t>
            </w:r>
          </w:p>
          <w:p w:rsidR="001C2BB1" w:rsidRPr="00FB02B7" w:rsidRDefault="001C2BB1" w:rsidP="001C2BB1">
            <w:pPr>
              <w:pStyle w:val="ListParagraph"/>
              <w:numPr>
                <w:ilvl w:val="1"/>
                <w:numId w:val="3"/>
              </w:numPr>
              <w:ind w:right="194"/>
              <w:jc w:val="both"/>
              <w:rPr>
                <w:rFonts w:ascii="Cambria" w:hAnsi="Cambria" w:cs="Calibri"/>
                <w:lang w:val="en-US" w:eastAsia="en-US"/>
              </w:rPr>
            </w:pPr>
            <w:r w:rsidRPr="00FB02B7">
              <w:rPr>
                <w:rFonts w:ascii="Cambria" w:hAnsi="Cambria" w:cs="Calibri"/>
                <w:lang w:val="en-US" w:eastAsia="en-US"/>
              </w:rPr>
              <w:t xml:space="preserve">Estimating inventory costs </w:t>
            </w:r>
          </w:p>
          <w:p w:rsidR="001C2BB1" w:rsidRPr="00FB02B7" w:rsidRDefault="001C2BB1" w:rsidP="001C2BB1">
            <w:pPr>
              <w:pStyle w:val="ListParagraph"/>
              <w:numPr>
                <w:ilvl w:val="1"/>
                <w:numId w:val="3"/>
              </w:numPr>
              <w:ind w:right="194"/>
              <w:jc w:val="both"/>
              <w:rPr>
                <w:rFonts w:ascii="Cambria" w:hAnsi="Cambria" w:cs="Calibri"/>
                <w:lang w:val="en-US" w:eastAsia="en-US"/>
              </w:rPr>
            </w:pPr>
            <w:r w:rsidRPr="00FB02B7">
              <w:rPr>
                <w:rFonts w:ascii="Cambria" w:hAnsi="Cambria" w:cs="Calibri"/>
                <w:lang w:val="en-US" w:eastAsia="en-US"/>
              </w:rPr>
              <w:t xml:space="preserve">Presentation of merchandise inventory on the balance sheet </w:t>
            </w:r>
          </w:p>
        </w:tc>
        <w:tc>
          <w:tcPr>
            <w:tcW w:w="2070" w:type="dxa"/>
          </w:tcPr>
          <w:p w:rsidR="001C2BB1" w:rsidRPr="00FB02B7" w:rsidRDefault="001C2BB1" w:rsidP="001F3695">
            <w:pPr>
              <w:rPr>
                <w:rFonts w:ascii="Cambria" w:hAnsi="Cambria"/>
                <w:lang w:val="en-GB"/>
              </w:rPr>
            </w:pPr>
            <w:r w:rsidRPr="00FB02B7">
              <w:rPr>
                <w:rFonts w:ascii="Cambria" w:hAnsi="Cambria"/>
                <w:lang w:val="en-GB"/>
              </w:rPr>
              <w:t>Fees and warren</w:t>
            </w:r>
          </w:p>
          <w:p w:rsidR="001C2BB1" w:rsidRPr="00FB02B7" w:rsidRDefault="001C2BB1" w:rsidP="001F3695">
            <w:pPr>
              <w:pStyle w:val="ListParagraph"/>
              <w:ind w:left="0" w:right="194"/>
              <w:jc w:val="both"/>
              <w:rPr>
                <w:rFonts w:ascii="Cambria" w:hAnsi="Cambria" w:cs="Calibri"/>
                <w:lang w:val="en-US" w:eastAsia="en-US"/>
              </w:rPr>
            </w:pPr>
            <w:r w:rsidRPr="00FB02B7">
              <w:rPr>
                <w:rFonts w:ascii="Cambria" w:hAnsi="Cambria"/>
                <w:lang w:val="en-GB" w:eastAsia="en-US"/>
              </w:rPr>
              <w:t xml:space="preserve">pp.349-384  </w:t>
            </w:r>
          </w:p>
        </w:tc>
      </w:tr>
      <w:tr w:rsidR="001C2BB1" w:rsidRPr="00FB02B7" w:rsidTr="001F3695">
        <w:trPr>
          <w:trHeight w:val="2895"/>
        </w:trPr>
        <w:tc>
          <w:tcPr>
            <w:tcW w:w="2391" w:type="dxa"/>
            <w:gridSpan w:val="2"/>
          </w:tcPr>
          <w:p w:rsidR="001C2BB1" w:rsidRPr="00FB02B7" w:rsidRDefault="001C2BB1" w:rsidP="001F3695">
            <w:pPr>
              <w:ind w:right="194"/>
              <w:jc w:val="both"/>
              <w:rPr>
                <w:rFonts w:ascii="Cambria" w:hAnsi="Cambria" w:cs="Calibri"/>
                <w:b/>
                <w:sz w:val="20"/>
                <w:szCs w:val="20"/>
              </w:rPr>
            </w:pPr>
            <w:r w:rsidRPr="00FB02B7">
              <w:rPr>
                <w:rFonts w:ascii="Cambria" w:hAnsi="Cambria" w:cs="Calibri"/>
                <w:b/>
                <w:sz w:val="20"/>
                <w:szCs w:val="20"/>
              </w:rPr>
              <w:t>3 WEEKS</w:t>
            </w:r>
          </w:p>
          <w:p w:rsidR="001C2BB1" w:rsidRPr="00FB02B7" w:rsidRDefault="001C2BB1" w:rsidP="001F3695">
            <w:pPr>
              <w:ind w:right="194"/>
              <w:jc w:val="both"/>
              <w:rPr>
                <w:rFonts w:ascii="Cambria" w:hAnsi="Cambria" w:cs="Calibri"/>
                <w:b/>
                <w:sz w:val="20"/>
                <w:szCs w:val="20"/>
              </w:rPr>
            </w:pPr>
            <w:r w:rsidRPr="00FB02B7">
              <w:rPr>
                <w:rFonts w:ascii="Cambria" w:hAnsi="Cambria" w:cs="Calibri"/>
                <w:b/>
                <w:sz w:val="20"/>
                <w:szCs w:val="20"/>
              </w:rPr>
              <w:t>{ 4</w:t>
            </w:r>
            <w:r w:rsidRPr="00FB02B7">
              <w:rPr>
                <w:rFonts w:ascii="Cambria" w:hAnsi="Cambria" w:cs="Calibri"/>
                <w:b/>
                <w:sz w:val="20"/>
                <w:szCs w:val="20"/>
                <w:vertAlign w:val="superscript"/>
              </w:rPr>
              <w:t>TH</w:t>
            </w:r>
            <w:r w:rsidRPr="00FB02B7">
              <w:rPr>
                <w:rFonts w:ascii="Cambria" w:hAnsi="Cambria" w:cs="Calibri"/>
                <w:b/>
                <w:sz w:val="20"/>
                <w:szCs w:val="20"/>
              </w:rPr>
              <w:t xml:space="preserve"> ,5</w:t>
            </w:r>
            <w:r w:rsidRPr="00FB02B7">
              <w:rPr>
                <w:rFonts w:ascii="Cambria" w:hAnsi="Cambria" w:cs="Calibri"/>
                <w:b/>
                <w:sz w:val="20"/>
                <w:szCs w:val="20"/>
                <w:vertAlign w:val="superscript"/>
              </w:rPr>
              <w:t>TH</w:t>
            </w:r>
            <w:r w:rsidRPr="00FB02B7">
              <w:rPr>
                <w:rFonts w:ascii="Cambria" w:hAnsi="Cambria" w:cs="Calibri"/>
                <w:b/>
                <w:sz w:val="20"/>
                <w:szCs w:val="20"/>
              </w:rPr>
              <w:t>&amp; 6</w:t>
            </w:r>
            <w:r w:rsidRPr="00FB02B7">
              <w:rPr>
                <w:rFonts w:ascii="Cambria" w:hAnsi="Cambria" w:cs="Calibri"/>
                <w:b/>
                <w:sz w:val="20"/>
                <w:szCs w:val="20"/>
                <w:vertAlign w:val="superscript"/>
              </w:rPr>
              <w:t>TH</w:t>
            </w:r>
            <w:r w:rsidRPr="00FB02B7">
              <w:rPr>
                <w:rFonts w:ascii="Cambria" w:hAnsi="Cambria" w:cs="Calibri"/>
                <w:b/>
                <w:sz w:val="20"/>
                <w:szCs w:val="20"/>
              </w:rPr>
              <w:t xml:space="preserve"> }</w:t>
            </w:r>
          </w:p>
        </w:tc>
        <w:tc>
          <w:tcPr>
            <w:tcW w:w="5416" w:type="dxa"/>
          </w:tcPr>
          <w:p w:rsidR="001C2BB1" w:rsidRPr="00FB02B7" w:rsidRDefault="001C2BB1" w:rsidP="001C2BB1">
            <w:pPr>
              <w:pStyle w:val="ListParagraph"/>
              <w:numPr>
                <w:ilvl w:val="0"/>
                <w:numId w:val="3"/>
              </w:numPr>
              <w:ind w:left="284" w:right="194" w:hanging="284"/>
              <w:jc w:val="both"/>
              <w:rPr>
                <w:rFonts w:ascii="Cambria" w:hAnsi="Cambria" w:cs="Calibri"/>
                <w:lang w:val="en-US" w:eastAsia="en-US"/>
              </w:rPr>
            </w:pPr>
            <w:r w:rsidRPr="00FB02B7">
              <w:rPr>
                <w:rFonts w:ascii="Cambria" w:hAnsi="Cambria" w:cs="Calibri"/>
                <w:lang w:val="en-US" w:eastAsia="en-US"/>
              </w:rPr>
              <w:t xml:space="preserve">Plant Assets and Intangible Assets </w:t>
            </w:r>
          </w:p>
          <w:p w:rsidR="001C2BB1" w:rsidRPr="00FB02B7" w:rsidRDefault="001C2BB1" w:rsidP="001C2BB1">
            <w:pPr>
              <w:pStyle w:val="ListParagraph"/>
              <w:numPr>
                <w:ilvl w:val="1"/>
                <w:numId w:val="3"/>
              </w:numPr>
              <w:ind w:right="194"/>
              <w:jc w:val="both"/>
              <w:rPr>
                <w:rFonts w:ascii="Cambria" w:hAnsi="Cambria" w:cs="Calibri"/>
                <w:lang w:val="en-US" w:eastAsia="en-US"/>
              </w:rPr>
            </w:pPr>
            <w:r w:rsidRPr="00FB02B7">
              <w:rPr>
                <w:rFonts w:ascii="Cambria" w:hAnsi="Cambria" w:cs="Calibri"/>
                <w:lang w:val="en-US" w:eastAsia="en-US"/>
              </w:rPr>
              <w:t>Nature of plant assets</w:t>
            </w:r>
          </w:p>
          <w:p w:rsidR="001C2BB1" w:rsidRPr="00FB02B7" w:rsidRDefault="001C2BB1" w:rsidP="001C2BB1">
            <w:pPr>
              <w:pStyle w:val="ListParagraph"/>
              <w:numPr>
                <w:ilvl w:val="1"/>
                <w:numId w:val="3"/>
              </w:numPr>
              <w:ind w:right="194"/>
              <w:jc w:val="both"/>
              <w:rPr>
                <w:rFonts w:ascii="Cambria" w:hAnsi="Cambria" w:cs="Calibri"/>
                <w:lang w:val="en-US" w:eastAsia="en-US"/>
              </w:rPr>
            </w:pPr>
            <w:r w:rsidRPr="00FB02B7">
              <w:rPr>
                <w:rFonts w:ascii="Cambria" w:hAnsi="Cambria" w:cs="Calibri"/>
                <w:lang w:val="en-US" w:eastAsia="en-US"/>
              </w:rPr>
              <w:t xml:space="preserve">Accounting for depreciation </w:t>
            </w:r>
          </w:p>
          <w:p w:rsidR="001C2BB1" w:rsidRPr="00FB02B7" w:rsidRDefault="001C2BB1" w:rsidP="001C2BB1">
            <w:pPr>
              <w:pStyle w:val="ListParagraph"/>
              <w:numPr>
                <w:ilvl w:val="1"/>
                <w:numId w:val="3"/>
              </w:numPr>
              <w:ind w:right="194"/>
              <w:jc w:val="both"/>
              <w:rPr>
                <w:rFonts w:ascii="Cambria" w:hAnsi="Cambria" w:cs="Calibri"/>
                <w:lang w:val="en-US" w:eastAsia="en-US"/>
              </w:rPr>
            </w:pPr>
            <w:r w:rsidRPr="00FB02B7">
              <w:rPr>
                <w:rFonts w:ascii="Cambria" w:hAnsi="Cambria" w:cs="Calibri"/>
                <w:lang w:val="en-US" w:eastAsia="en-US"/>
              </w:rPr>
              <w:t xml:space="preserve">Capital expenditures and revenue expenditures </w:t>
            </w:r>
          </w:p>
          <w:p w:rsidR="001C2BB1" w:rsidRPr="00FB02B7" w:rsidRDefault="001C2BB1" w:rsidP="001C2BB1">
            <w:pPr>
              <w:pStyle w:val="ListParagraph"/>
              <w:numPr>
                <w:ilvl w:val="1"/>
                <w:numId w:val="3"/>
              </w:numPr>
              <w:ind w:right="194"/>
              <w:jc w:val="both"/>
              <w:rPr>
                <w:rFonts w:ascii="Cambria" w:hAnsi="Cambria" w:cs="Calibri"/>
                <w:lang w:val="en-US" w:eastAsia="en-US"/>
              </w:rPr>
            </w:pPr>
            <w:r w:rsidRPr="00FB02B7">
              <w:rPr>
                <w:rFonts w:ascii="Cambria" w:hAnsi="Cambria" w:cs="Calibri"/>
                <w:lang w:val="en-US" w:eastAsia="en-US"/>
              </w:rPr>
              <w:t>Disposal of plant assets</w:t>
            </w:r>
          </w:p>
          <w:p w:rsidR="001C2BB1" w:rsidRPr="00FB02B7" w:rsidRDefault="001C2BB1" w:rsidP="001C2BB1">
            <w:pPr>
              <w:pStyle w:val="ListParagraph"/>
              <w:numPr>
                <w:ilvl w:val="1"/>
                <w:numId w:val="3"/>
              </w:numPr>
              <w:ind w:right="194"/>
              <w:jc w:val="both"/>
              <w:rPr>
                <w:rFonts w:ascii="Cambria" w:hAnsi="Cambria" w:cs="Calibri"/>
                <w:lang w:val="en-US" w:eastAsia="en-US"/>
              </w:rPr>
            </w:pPr>
            <w:r w:rsidRPr="00FB02B7">
              <w:rPr>
                <w:rFonts w:ascii="Cambria" w:hAnsi="Cambria" w:cs="Calibri"/>
                <w:lang w:val="en-US" w:eastAsia="en-US"/>
              </w:rPr>
              <w:t>Leasing of plant assets</w:t>
            </w:r>
          </w:p>
          <w:p w:rsidR="001C2BB1" w:rsidRPr="00FB02B7" w:rsidRDefault="001C2BB1" w:rsidP="001C2BB1">
            <w:pPr>
              <w:pStyle w:val="ListParagraph"/>
              <w:numPr>
                <w:ilvl w:val="1"/>
                <w:numId w:val="3"/>
              </w:numPr>
              <w:ind w:right="194"/>
              <w:jc w:val="both"/>
              <w:rPr>
                <w:rFonts w:ascii="Cambria" w:hAnsi="Cambria" w:cs="Calibri"/>
                <w:lang w:val="en-US" w:eastAsia="en-US"/>
              </w:rPr>
            </w:pPr>
            <w:r w:rsidRPr="00FB02B7">
              <w:rPr>
                <w:rFonts w:ascii="Cambria" w:hAnsi="Cambria" w:cs="Calibri"/>
                <w:lang w:val="en-US" w:eastAsia="en-US"/>
              </w:rPr>
              <w:t>Internal controls of plant assets</w:t>
            </w:r>
          </w:p>
          <w:p w:rsidR="001C2BB1" w:rsidRPr="00FB02B7" w:rsidRDefault="001C2BB1" w:rsidP="001C2BB1">
            <w:pPr>
              <w:pStyle w:val="ListParagraph"/>
              <w:numPr>
                <w:ilvl w:val="1"/>
                <w:numId w:val="3"/>
              </w:numPr>
              <w:ind w:right="194"/>
              <w:jc w:val="both"/>
              <w:rPr>
                <w:rFonts w:ascii="Cambria" w:hAnsi="Cambria" w:cs="Calibri"/>
                <w:lang w:val="en-US" w:eastAsia="en-US"/>
              </w:rPr>
            </w:pPr>
            <w:r w:rsidRPr="00FB02B7">
              <w:rPr>
                <w:rFonts w:ascii="Cambria" w:hAnsi="Cambria" w:cs="Calibri"/>
                <w:lang w:val="en-US" w:eastAsia="en-US"/>
              </w:rPr>
              <w:t xml:space="preserve">Intangible Assets  </w:t>
            </w:r>
          </w:p>
          <w:p w:rsidR="001C2BB1" w:rsidRPr="00FB02B7" w:rsidRDefault="001C2BB1" w:rsidP="001C2BB1">
            <w:pPr>
              <w:pStyle w:val="ListParagraph"/>
              <w:numPr>
                <w:ilvl w:val="1"/>
                <w:numId w:val="3"/>
              </w:numPr>
              <w:ind w:right="194"/>
              <w:jc w:val="both"/>
              <w:rPr>
                <w:rFonts w:ascii="Cambria" w:hAnsi="Cambria" w:cs="Calibri"/>
                <w:lang w:val="en-US" w:eastAsia="en-US"/>
              </w:rPr>
            </w:pPr>
            <w:r w:rsidRPr="00FB02B7">
              <w:rPr>
                <w:rFonts w:ascii="Cambria" w:hAnsi="Cambria" w:cs="Calibri"/>
                <w:lang w:val="en-US" w:eastAsia="en-US"/>
              </w:rPr>
              <w:t xml:space="preserve">Natural resources </w:t>
            </w:r>
          </w:p>
          <w:p w:rsidR="001C2BB1" w:rsidRPr="00FB02B7" w:rsidRDefault="001C2BB1" w:rsidP="001C2BB1">
            <w:pPr>
              <w:pStyle w:val="ListParagraph"/>
              <w:numPr>
                <w:ilvl w:val="1"/>
                <w:numId w:val="3"/>
              </w:numPr>
              <w:ind w:right="194"/>
              <w:jc w:val="both"/>
              <w:rPr>
                <w:rFonts w:ascii="Cambria" w:hAnsi="Cambria" w:cs="Calibri"/>
                <w:lang w:val="en-US" w:eastAsia="en-US"/>
              </w:rPr>
            </w:pPr>
            <w:r w:rsidRPr="00FB02B7">
              <w:rPr>
                <w:rFonts w:ascii="Cambria" w:hAnsi="Cambria" w:cs="Calibri"/>
                <w:lang w:val="en-US" w:eastAsia="en-US"/>
              </w:rPr>
              <w:t xml:space="preserve">Presentation of fixed assets and intangible assets on the balance sheet </w:t>
            </w:r>
          </w:p>
        </w:tc>
        <w:tc>
          <w:tcPr>
            <w:tcW w:w="2070" w:type="dxa"/>
          </w:tcPr>
          <w:p w:rsidR="001C2BB1" w:rsidRPr="00FB02B7" w:rsidRDefault="001C2BB1" w:rsidP="001F3695">
            <w:pPr>
              <w:pStyle w:val="NormalWeb"/>
              <w:spacing w:before="0" w:beforeAutospacing="0" w:after="0" w:afterAutospacing="0"/>
              <w:rPr>
                <w:rFonts w:ascii="Cambria" w:hAnsi="Cambria"/>
                <w:lang w:val="en-GB" w:eastAsia="en-US"/>
              </w:rPr>
            </w:pPr>
            <w:r w:rsidRPr="00FB02B7">
              <w:rPr>
                <w:rFonts w:ascii="Cambria" w:hAnsi="Cambria"/>
                <w:sz w:val="22"/>
                <w:szCs w:val="22"/>
                <w:lang w:val="en-GB" w:eastAsia="en-US"/>
              </w:rPr>
              <w:t>Fees and warren pp.387-424</w:t>
            </w:r>
          </w:p>
        </w:tc>
      </w:tr>
      <w:tr w:rsidR="001C2BB1" w:rsidRPr="00FB02B7" w:rsidTr="001F3695">
        <w:trPr>
          <w:trHeight w:val="1530"/>
        </w:trPr>
        <w:tc>
          <w:tcPr>
            <w:tcW w:w="2391" w:type="dxa"/>
            <w:gridSpan w:val="2"/>
          </w:tcPr>
          <w:p w:rsidR="001C2BB1" w:rsidRPr="00FB02B7" w:rsidRDefault="001C2BB1" w:rsidP="001F3695">
            <w:pPr>
              <w:ind w:right="194"/>
              <w:jc w:val="both"/>
              <w:rPr>
                <w:rFonts w:ascii="Cambria" w:hAnsi="Cambria" w:cs="Calibri"/>
                <w:b/>
                <w:sz w:val="18"/>
                <w:szCs w:val="18"/>
              </w:rPr>
            </w:pPr>
            <w:r w:rsidRPr="00FB02B7">
              <w:rPr>
                <w:rFonts w:ascii="Cambria" w:hAnsi="Cambria" w:cs="Calibri"/>
                <w:b/>
                <w:sz w:val="18"/>
                <w:szCs w:val="18"/>
              </w:rPr>
              <w:lastRenderedPageBreak/>
              <w:t>2 WEEKS</w:t>
            </w:r>
          </w:p>
          <w:p w:rsidR="001C2BB1" w:rsidRPr="00FB02B7" w:rsidRDefault="001C2BB1" w:rsidP="001F3695">
            <w:pPr>
              <w:ind w:right="194"/>
              <w:jc w:val="both"/>
              <w:rPr>
                <w:rFonts w:ascii="Cambria" w:hAnsi="Cambria" w:cs="Calibri"/>
                <w:b/>
                <w:sz w:val="18"/>
                <w:szCs w:val="18"/>
              </w:rPr>
            </w:pPr>
            <w:r w:rsidRPr="00FB02B7">
              <w:rPr>
                <w:rFonts w:ascii="Cambria" w:hAnsi="Cambria" w:cs="Calibri"/>
                <w:b/>
                <w:sz w:val="18"/>
                <w:szCs w:val="18"/>
              </w:rPr>
              <w:t>{ 7</w:t>
            </w:r>
            <w:r w:rsidRPr="00FB02B7">
              <w:rPr>
                <w:rFonts w:ascii="Cambria" w:hAnsi="Cambria" w:cs="Calibri"/>
                <w:b/>
                <w:sz w:val="18"/>
                <w:szCs w:val="18"/>
                <w:vertAlign w:val="superscript"/>
              </w:rPr>
              <w:t>TH</w:t>
            </w:r>
            <w:r w:rsidRPr="00FB02B7">
              <w:rPr>
                <w:rFonts w:ascii="Cambria" w:hAnsi="Cambria" w:cs="Calibri"/>
                <w:b/>
                <w:sz w:val="18"/>
                <w:szCs w:val="18"/>
              </w:rPr>
              <w:t>&amp;8</w:t>
            </w:r>
            <w:r w:rsidRPr="00FB02B7">
              <w:rPr>
                <w:rFonts w:ascii="Cambria" w:hAnsi="Cambria" w:cs="Calibri"/>
                <w:b/>
                <w:sz w:val="18"/>
                <w:szCs w:val="18"/>
                <w:vertAlign w:val="superscript"/>
              </w:rPr>
              <w:t>TH</w:t>
            </w:r>
            <w:r w:rsidRPr="00FB02B7">
              <w:rPr>
                <w:rFonts w:ascii="Cambria" w:hAnsi="Cambria" w:cs="Calibri"/>
                <w:b/>
                <w:sz w:val="18"/>
                <w:szCs w:val="18"/>
              </w:rPr>
              <w:t xml:space="preserve"> }</w:t>
            </w:r>
          </w:p>
        </w:tc>
        <w:tc>
          <w:tcPr>
            <w:tcW w:w="5416" w:type="dxa"/>
          </w:tcPr>
          <w:p w:rsidR="001C2BB1" w:rsidRPr="001C2BB1" w:rsidRDefault="001C2BB1" w:rsidP="001C2BB1">
            <w:pPr>
              <w:pStyle w:val="ListParagraph"/>
              <w:numPr>
                <w:ilvl w:val="0"/>
                <w:numId w:val="3"/>
              </w:numPr>
              <w:ind w:right="194"/>
              <w:jc w:val="both"/>
              <w:rPr>
                <w:rFonts w:ascii="Cambria" w:hAnsi="Cambria" w:cs="Calibri"/>
                <w:lang w:val="en-US" w:eastAsia="en-US"/>
              </w:rPr>
            </w:pPr>
            <w:r w:rsidRPr="001C2BB1">
              <w:rPr>
                <w:rFonts w:ascii="Cambria" w:hAnsi="Cambria" w:cs="Calibri"/>
                <w:lang w:val="en-US" w:eastAsia="en-US"/>
              </w:rPr>
              <w:t>Ethiopian Payroll System</w:t>
            </w:r>
          </w:p>
          <w:p w:rsidR="001C2BB1" w:rsidRDefault="001C2BB1" w:rsidP="001C2BB1">
            <w:pPr>
              <w:pStyle w:val="ListParagraph"/>
              <w:numPr>
                <w:ilvl w:val="1"/>
                <w:numId w:val="3"/>
              </w:numPr>
              <w:ind w:right="194"/>
              <w:jc w:val="both"/>
              <w:rPr>
                <w:rFonts w:ascii="Cambria" w:hAnsi="Cambria" w:cs="Calibri"/>
                <w:color w:val="FF0000"/>
                <w:lang w:val="en-US" w:eastAsia="en-US"/>
              </w:rPr>
            </w:pPr>
            <w:r w:rsidRPr="001C2BB1">
              <w:rPr>
                <w:rFonts w:ascii="Cambria" w:hAnsi="Cambria" w:cs="Calibri"/>
                <w:color w:val="FF0000"/>
                <w:lang w:val="en-US" w:eastAsia="en-US"/>
              </w:rPr>
              <w:t>Ethiopian Payroll System</w:t>
            </w:r>
          </w:p>
          <w:p w:rsidR="006B3FC5" w:rsidRPr="001C2BB1" w:rsidRDefault="006B3FC5" w:rsidP="001C2BB1">
            <w:pPr>
              <w:pStyle w:val="ListParagraph"/>
              <w:numPr>
                <w:ilvl w:val="1"/>
                <w:numId w:val="3"/>
              </w:numPr>
              <w:ind w:right="194"/>
              <w:jc w:val="both"/>
              <w:rPr>
                <w:rFonts w:ascii="Cambria" w:hAnsi="Cambria" w:cs="Calibri"/>
                <w:color w:val="FF0000"/>
                <w:lang w:val="en-US" w:eastAsia="en-US"/>
              </w:rPr>
            </w:pPr>
            <w:r w:rsidRPr="001C2BB1">
              <w:rPr>
                <w:rFonts w:ascii="Cambria" w:hAnsi="Cambria" w:cs="Calibri"/>
                <w:color w:val="FF0000"/>
                <w:lang w:val="en-US" w:eastAsia="en-US"/>
              </w:rPr>
              <w:t>Presentation of liabilities on the balance sheet</w:t>
            </w:r>
          </w:p>
          <w:p w:rsidR="001C2BB1" w:rsidRPr="00FB02B7" w:rsidRDefault="001C2BB1" w:rsidP="006B3FC5">
            <w:pPr>
              <w:pStyle w:val="ListParagraph"/>
              <w:ind w:left="643" w:right="194"/>
              <w:jc w:val="both"/>
              <w:rPr>
                <w:rFonts w:ascii="Cambria" w:hAnsi="Cambria" w:cs="Calibri"/>
                <w:lang w:val="en-US" w:eastAsia="en-US"/>
              </w:rPr>
            </w:pPr>
          </w:p>
        </w:tc>
        <w:tc>
          <w:tcPr>
            <w:tcW w:w="2070" w:type="dxa"/>
          </w:tcPr>
          <w:p w:rsidR="001C2BB1" w:rsidRPr="00FB02B7" w:rsidRDefault="001C2BB1" w:rsidP="001F3695">
            <w:pPr>
              <w:pStyle w:val="NormalWeb"/>
              <w:spacing w:before="0" w:beforeAutospacing="0" w:after="0" w:afterAutospacing="0"/>
              <w:rPr>
                <w:rFonts w:ascii="Cambria" w:hAnsi="Cambria"/>
                <w:lang w:val="en-GB" w:eastAsia="en-US"/>
              </w:rPr>
            </w:pPr>
            <w:r w:rsidRPr="00FB02B7">
              <w:rPr>
                <w:rFonts w:ascii="Cambria" w:hAnsi="Cambria"/>
                <w:sz w:val="22"/>
                <w:szCs w:val="22"/>
                <w:lang w:val="en-GB" w:eastAsia="en-US"/>
              </w:rPr>
              <w:t>Fees and warren</w:t>
            </w:r>
          </w:p>
          <w:p w:rsidR="001C2BB1" w:rsidRPr="00FB02B7" w:rsidRDefault="001C2BB1" w:rsidP="001F3695">
            <w:pPr>
              <w:pStyle w:val="NormalWeb"/>
              <w:spacing w:before="0" w:beforeAutospacing="0" w:after="0" w:afterAutospacing="0"/>
              <w:rPr>
                <w:rFonts w:ascii="Cambria" w:hAnsi="Cambria"/>
                <w:lang w:val="en-GB" w:eastAsia="en-US"/>
              </w:rPr>
            </w:pPr>
            <w:r w:rsidRPr="00FB02B7">
              <w:rPr>
                <w:rFonts w:ascii="Cambria" w:hAnsi="Cambria"/>
                <w:sz w:val="22"/>
                <w:szCs w:val="22"/>
                <w:lang w:val="en-GB" w:eastAsia="en-US"/>
              </w:rPr>
              <w:t>pp.426-460</w:t>
            </w:r>
          </w:p>
          <w:p w:rsidR="001C2BB1" w:rsidRPr="00FB02B7" w:rsidRDefault="001C2BB1" w:rsidP="001F3695">
            <w:pPr>
              <w:rPr>
                <w:rFonts w:ascii="Cambria" w:eastAsia="Calibri" w:hAnsi="Cambria" w:cs="Calibri"/>
              </w:rPr>
            </w:pPr>
          </w:p>
          <w:p w:rsidR="001C2BB1" w:rsidRPr="00FB02B7" w:rsidRDefault="001C2BB1" w:rsidP="001F3695">
            <w:pPr>
              <w:rPr>
                <w:rFonts w:ascii="Cambria" w:eastAsia="Calibri" w:hAnsi="Cambria" w:cs="Calibri"/>
              </w:rPr>
            </w:pPr>
          </w:p>
          <w:p w:rsidR="001C2BB1" w:rsidRPr="00FB02B7" w:rsidRDefault="001C2BB1" w:rsidP="001F3695">
            <w:pPr>
              <w:rPr>
                <w:rFonts w:ascii="Cambria" w:eastAsia="Calibri" w:hAnsi="Cambria" w:cs="Calibri"/>
              </w:rPr>
            </w:pPr>
          </w:p>
          <w:p w:rsidR="001C2BB1" w:rsidRPr="00FB02B7" w:rsidRDefault="001C2BB1" w:rsidP="001F3695">
            <w:pPr>
              <w:pStyle w:val="ListParagraph"/>
              <w:ind w:left="0" w:right="194"/>
              <w:jc w:val="both"/>
              <w:rPr>
                <w:rFonts w:ascii="Cambria" w:hAnsi="Cambria" w:cs="Calibri"/>
                <w:lang w:val="en-US" w:eastAsia="en-US"/>
              </w:rPr>
            </w:pPr>
          </w:p>
        </w:tc>
      </w:tr>
      <w:tr w:rsidR="001C2BB1" w:rsidRPr="00FB02B7" w:rsidTr="001F3695">
        <w:trPr>
          <w:trHeight w:val="2985"/>
        </w:trPr>
        <w:tc>
          <w:tcPr>
            <w:tcW w:w="2391" w:type="dxa"/>
            <w:gridSpan w:val="2"/>
          </w:tcPr>
          <w:p w:rsidR="001C2BB1" w:rsidRPr="00FB02B7" w:rsidRDefault="001C2BB1" w:rsidP="001F3695">
            <w:pPr>
              <w:ind w:right="194"/>
              <w:jc w:val="both"/>
              <w:rPr>
                <w:rFonts w:ascii="Cambria" w:hAnsi="Cambria" w:cs="Calibri"/>
                <w:b/>
                <w:sz w:val="20"/>
                <w:szCs w:val="20"/>
              </w:rPr>
            </w:pPr>
            <w:r w:rsidRPr="00FB02B7">
              <w:rPr>
                <w:rFonts w:ascii="Cambria" w:hAnsi="Cambria" w:cs="Calibri"/>
                <w:b/>
                <w:sz w:val="20"/>
                <w:szCs w:val="20"/>
              </w:rPr>
              <w:t>3 WEEKS</w:t>
            </w:r>
          </w:p>
          <w:p w:rsidR="001C2BB1" w:rsidRPr="00FB02B7" w:rsidRDefault="001C2BB1" w:rsidP="001F3695">
            <w:pPr>
              <w:ind w:right="194"/>
              <w:jc w:val="both"/>
              <w:rPr>
                <w:rFonts w:ascii="Cambria" w:hAnsi="Cambria" w:cs="Calibri"/>
                <w:b/>
                <w:sz w:val="18"/>
                <w:szCs w:val="18"/>
              </w:rPr>
            </w:pPr>
            <w:r w:rsidRPr="00FB02B7">
              <w:rPr>
                <w:rFonts w:ascii="Cambria" w:hAnsi="Cambria" w:cs="Calibri"/>
                <w:b/>
                <w:sz w:val="18"/>
                <w:szCs w:val="18"/>
              </w:rPr>
              <w:t>{9</w:t>
            </w:r>
            <w:r w:rsidRPr="00FB02B7">
              <w:rPr>
                <w:rFonts w:ascii="Cambria" w:hAnsi="Cambria" w:cs="Calibri"/>
                <w:b/>
                <w:sz w:val="18"/>
                <w:szCs w:val="18"/>
                <w:vertAlign w:val="superscript"/>
              </w:rPr>
              <w:t>TH</w:t>
            </w:r>
            <w:r w:rsidRPr="00FB02B7">
              <w:rPr>
                <w:rFonts w:ascii="Cambria" w:hAnsi="Cambria" w:cs="Calibri"/>
                <w:b/>
                <w:sz w:val="18"/>
                <w:szCs w:val="18"/>
              </w:rPr>
              <w:t xml:space="preserve"> ,10</w:t>
            </w:r>
            <w:r w:rsidRPr="00FB02B7">
              <w:rPr>
                <w:rFonts w:ascii="Cambria" w:hAnsi="Cambria" w:cs="Calibri"/>
                <w:b/>
                <w:sz w:val="18"/>
                <w:szCs w:val="18"/>
                <w:vertAlign w:val="superscript"/>
              </w:rPr>
              <w:t>TH</w:t>
            </w:r>
            <w:r w:rsidRPr="00FB02B7">
              <w:rPr>
                <w:rFonts w:ascii="Cambria" w:hAnsi="Cambria" w:cs="Calibri"/>
                <w:b/>
                <w:sz w:val="18"/>
                <w:szCs w:val="18"/>
              </w:rPr>
              <w:t>&amp;11</w:t>
            </w:r>
            <w:r w:rsidRPr="00FB02B7">
              <w:rPr>
                <w:rFonts w:ascii="Cambria" w:hAnsi="Cambria" w:cs="Calibri"/>
                <w:b/>
                <w:sz w:val="18"/>
                <w:szCs w:val="18"/>
                <w:vertAlign w:val="superscript"/>
              </w:rPr>
              <w:t>TH</w:t>
            </w:r>
            <w:r w:rsidRPr="00FB02B7">
              <w:rPr>
                <w:rFonts w:ascii="Cambria" w:hAnsi="Cambria" w:cs="Calibri"/>
                <w:b/>
                <w:sz w:val="18"/>
                <w:szCs w:val="18"/>
              </w:rPr>
              <w:t xml:space="preserve"> }</w:t>
            </w:r>
          </w:p>
          <w:p w:rsidR="001C2BB1" w:rsidRPr="00FB02B7" w:rsidRDefault="001C2BB1" w:rsidP="001F3695">
            <w:pPr>
              <w:ind w:right="194"/>
              <w:jc w:val="both"/>
              <w:rPr>
                <w:rFonts w:ascii="Cambria" w:hAnsi="Cambria" w:cs="Calibri"/>
                <w:b/>
              </w:rPr>
            </w:pPr>
          </w:p>
          <w:p w:rsidR="001C2BB1" w:rsidRPr="00FB02B7" w:rsidRDefault="001C2BB1" w:rsidP="001F3695">
            <w:pPr>
              <w:ind w:right="194"/>
              <w:jc w:val="both"/>
              <w:rPr>
                <w:rFonts w:ascii="Cambria" w:hAnsi="Cambria" w:cs="Calibri"/>
                <w:b/>
              </w:rPr>
            </w:pPr>
          </w:p>
          <w:p w:rsidR="001C2BB1" w:rsidRPr="00FB02B7" w:rsidRDefault="001C2BB1" w:rsidP="001F3695">
            <w:pPr>
              <w:ind w:right="194"/>
              <w:jc w:val="both"/>
              <w:rPr>
                <w:rFonts w:ascii="Cambria" w:hAnsi="Cambria" w:cs="Calibri"/>
                <w:b/>
              </w:rPr>
            </w:pPr>
          </w:p>
          <w:p w:rsidR="001C2BB1" w:rsidRPr="00FB02B7" w:rsidRDefault="001C2BB1" w:rsidP="001F3695">
            <w:pPr>
              <w:ind w:right="194"/>
              <w:jc w:val="both"/>
              <w:rPr>
                <w:rFonts w:ascii="Cambria" w:hAnsi="Cambria" w:cs="Calibri"/>
                <w:b/>
              </w:rPr>
            </w:pPr>
          </w:p>
          <w:p w:rsidR="001C2BB1" w:rsidRPr="00FB02B7" w:rsidRDefault="001C2BB1" w:rsidP="001F3695">
            <w:pPr>
              <w:ind w:right="194"/>
              <w:jc w:val="both"/>
              <w:rPr>
                <w:rFonts w:ascii="Cambria" w:hAnsi="Cambria" w:cs="Calibri"/>
                <w:b/>
              </w:rPr>
            </w:pPr>
          </w:p>
          <w:p w:rsidR="001C2BB1" w:rsidRPr="00FB02B7" w:rsidRDefault="001C2BB1" w:rsidP="001F3695">
            <w:pPr>
              <w:ind w:right="194"/>
              <w:jc w:val="both"/>
              <w:rPr>
                <w:rFonts w:ascii="Cambria" w:hAnsi="Cambria" w:cs="Calibri"/>
                <w:b/>
              </w:rPr>
            </w:pPr>
          </w:p>
          <w:p w:rsidR="001C2BB1" w:rsidRPr="00FB02B7" w:rsidRDefault="001C2BB1" w:rsidP="001F3695">
            <w:pPr>
              <w:ind w:right="194"/>
              <w:jc w:val="both"/>
              <w:rPr>
                <w:rFonts w:ascii="Cambria" w:hAnsi="Cambria" w:cs="Calibri"/>
                <w:b/>
              </w:rPr>
            </w:pPr>
          </w:p>
          <w:p w:rsidR="001C2BB1" w:rsidRPr="00FB02B7" w:rsidRDefault="001C2BB1" w:rsidP="001F3695">
            <w:pPr>
              <w:ind w:right="194"/>
              <w:jc w:val="both"/>
              <w:rPr>
                <w:rFonts w:ascii="Cambria" w:hAnsi="Cambria" w:cs="Calibri"/>
                <w:b/>
              </w:rPr>
            </w:pPr>
          </w:p>
          <w:p w:rsidR="001C2BB1" w:rsidRPr="00FB02B7" w:rsidRDefault="001C2BB1" w:rsidP="001F3695">
            <w:pPr>
              <w:ind w:right="194"/>
              <w:jc w:val="both"/>
              <w:rPr>
                <w:rFonts w:ascii="Cambria" w:hAnsi="Cambria" w:cs="Calibri"/>
                <w:b/>
                <w:sz w:val="20"/>
                <w:szCs w:val="20"/>
              </w:rPr>
            </w:pPr>
          </w:p>
        </w:tc>
        <w:tc>
          <w:tcPr>
            <w:tcW w:w="5416" w:type="dxa"/>
          </w:tcPr>
          <w:p w:rsidR="001C2BB1" w:rsidRPr="00FB02B7" w:rsidRDefault="001C2BB1" w:rsidP="001C2BB1">
            <w:pPr>
              <w:pStyle w:val="ListParagraph"/>
              <w:numPr>
                <w:ilvl w:val="0"/>
                <w:numId w:val="3"/>
              </w:numPr>
              <w:ind w:left="284" w:right="194" w:hanging="284"/>
              <w:jc w:val="both"/>
              <w:rPr>
                <w:rFonts w:ascii="Cambria" w:hAnsi="Cambria" w:cs="Calibri"/>
                <w:lang w:val="en-US" w:eastAsia="en-US"/>
              </w:rPr>
            </w:pPr>
            <w:r w:rsidRPr="00FB02B7">
              <w:rPr>
                <w:rFonts w:ascii="Cambria" w:hAnsi="Cambria" w:cs="Calibri"/>
                <w:lang w:val="en-US" w:eastAsia="en-US"/>
              </w:rPr>
              <w:t xml:space="preserve">Accounting for Partnerships  </w:t>
            </w:r>
          </w:p>
          <w:p w:rsidR="001C2BB1" w:rsidRPr="00FB02B7" w:rsidRDefault="001C2BB1" w:rsidP="001C2BB1">
            <w:pPr>
              <w:pStyle w:val="ListParagraph"/>
              <w:numPr>
                <w:ilvl w:val="1"/>
                <w:numId w:val="3"/>
              </w:numPr>
              <w:ind w:right="194"/>
              <w:jc w:val="both"/>
              <w:rPr>
                <w:rFonts w:ascii="Cambria" w:hAnsi="Cambria" w:cs="Calibri"/>
                <w:lang w:val="en-US" w:eastAsia="en-US"/>
              </w:rPr>
            </w:pPr>
            <w:r w:rsidRPr="00FB02B7">
              <w:rPr>
                <w:rFonts w:ascii="Cambria" w:hAnsi="Cambria" w:cs="Calibri"/>
                <w:lang w:val="en-US" w:eastAsia="en-US"/>
              </w:rPr>
              <w:t>Basic characteristics of partnership</w:t>
            </w:r>
          </w:p>
          <w:p w:rsidR="001C2BB1" w:rsidRPr="00FB02B7" w:rsidRDefault="001C2BB1" w:rsidP="001C2BB1">
            <w:pPr>
              <w:pStyle w:val="ListParagraph"/>
              <w:numPr>
                <w:ilvl w:val="1"/>
                <w:numId w:val="3"/>
              </w:numPr>
              <w:ind w:right="194"/>
              <w:jc w:val="both"/>
              <w:rPr>
                <w:rFonts w:ascii="Cambria" w:hAnsi="Cambria" w:cs="Calibri"/>
                <w:lang w:val="en-US" w:eastAsia="en-US"/>
              </w:rPr>
            </w:pPr>
            <w:r w:rsidRPr="00FB02B7">
              <w:rPr>
                <w:rFonts w:ascii="Cambria" w:hAnsi="Cambria" w:cs="Calibri"/>
                <w:lang w:val="en-US" w:eastAsia="en-US"/>
              </w:rPr>
              <w:t xml:space="preserve">Equity reporting for partnerships </w:t>
            </w:r>
          </w:p>
          <w:p w:rsidR="001C2BB1" w:rsidRPr="00FB02B7" w:rsidRDefault="001C2BB1" w:rsidP="001C2BB1">
            <w:pPr>
              <w:pStyle w:val="ListParagraph"/>
              <w:numPr>
                <w:ilvl w:val="1"/>
                <w:numId w:val="3"/>
              </w:numPr>
              <w:ind w:right="194"/>
              <w:jc w:val="both"/>
              <w:rPr>
                <w:rFonts w:ascii="Cambria" w:hAnsi="Cambria" w:cs="Calibri"/>
                <w:lang w:val="en-US" w:eastAsia="en-US"/>
              </w:rPr>
            </w:pPr>
            <w:r w:rsidRPr="00FB02B7">
              <w:rPr>
                <w:rFonts w:ascii="Cambria" w:hAnsi="Cambria" w:cs="Calibri"/>
                <w:lang w:val="en-US" w:eastAsia="en-US"/>
              </w:rPr>
              <w:t xml:space="preserve">Formation of partnerships </w:t>
            </w:r>
          </w:p>
          <w:p w:rsidR="001C2BB1" w:rsidRPr="00FB02B7" w:rsidRDefault="001C2BB1" w:rsidP="001C2BB1">
            <w:pPr>
              <w:pStyle w:val="ListParagraph"/>
              <w:numPr>
                <w:ilvl w:val="1"/>
                <w:numId w:val="3"/>
              </w:numPr>
              <w:ind w:right="194"/>
              <w:jc w:val="both"/>
              <w:rPr>
                <w:rFonts w:ascii="Cambria" w:hAnsi="Cambria" w:cs="Calibri"/>
                <w:lang w:val="en-US" w:eastAsia="en-US"/>
              </w:rPr>
            </w:pPr>
            <w:r w:rsidRPr="00FB02B7">
              <w:rPr>
                <w:rFonts w:ascii="Cambria" w:hAnsi="Cambria" w:cs="Calibri"/>
                <w:lang w:val="en-US" w:eastAsia="en-US"/>
              </w:rPr>
              <w:t xml:space="preserve">Dividing partnership net income and net loss </w:t>
            </w:r>
          </w:p>
          <w:p w:rsidR="001C2BB1" w:rsidRPr="00FB02B7" w:rsidRDefault="001C2BB1" w:rsidP="001C2BB1">
            <w:pPr>
              <w:pStyle w:val="ListParagraph"/>
              <w:numPr>
                <w:ilvl w:val="1"/>
                <w:numId w:val="3"/>
              </w:numPr>
              <w:ind w:right="194"/>
              <w:jc w:val="both"/>
              <w:rPr>
                <w:rFonts w:ascii="Cambria" w:hAnsi="Cambria" w:cs="Calibri"/>
                <w:lang w:val="en-US" w:eastAsia="en-US"/>
              </w:rPr>
            </w:pPr>
            <w:r w:rsidRPr="00FB02B7">
              <w:rPr>
                <w:rFonts w:ascii="Cambria" w:hAnsi="Cambria" w:cs="Calibri"/>
                <w:lang w:val="en-US" w:eastAsia="en-US"/>
              </w:rPr>
              <w:t xml:space="preserve">Admission of new partners </w:t>
            </w:r>
          </w:p>
          <w:p w:rsidR="001C2BB1" w:rsidRPr="00FB02B7" w:rsidRDefault="001C2BB1" w:rsidP="001C2BB1">
            <w:pPr>
              <w:pStyle w:val="ListParagraph"/>
              <w:numPr>
                <w:ilvl w:val="1"/>
                <w:numId w:val="3"/>
              </w:numPr>
              <w:ind w:right="194"/>
              <w:jc w:val="both"/>
              <w:rPr>
                <w:rFonts w:ascii="Cambria" w:hAnsi="Cambria" w:cs="Calibri"/>
                <w:lang w:val="en-US" w:eastAsia="en-US"/>
              </w:rPr>
            </w:pPr>
            <w:r w:rsidRPr="00FB02B7">
              <w:rPr>
                <w:rFonts w:ascii="Cambria" w:hAnsi="Cambria" w:cs="Calibri"/>
                <w:lang w:val="en-US" w:eastAsia="en-US"/>
              </w:rPr>
              <w:t xml:space="preserve">Withdrawal or death of partners </w:t>
            </w:r>
          </w:p>
          <w:p w:rsidR="001C2BB1" w:rsidRPr="00FB02B7" w:rsidRDefault="001C2BB1" w:rsidP="001C2BB1">
            <w:pPr>
              <w:pStyle w:val="ListParagraph"/>
              <w:numPr>
                <w:ilvl w:val="1"/>
                <w:numId w:val="3"/>
              </w:numPr>
              <w:ind w:right="194"/>
              <w:jc w:val="both"/>
              <w:rPr>
                <w:rFonts w:ascii="Cambria" w:hAnsi="Cambria" w:cs="Calibri"/>
                <w:lang w:val="en-US" w:eastAsia="en-US"/>
              </w:rPr>
            </w:pPr>
            <w:r w:rsidRPr="00FB02B7">
              <w:rPr>
                <w:rFonts w:ascii="Cambria" w:hAnsi="Cambria" w:cs="Calibri"/>
                <w:lang w:val="en-US" w:eastAsia="en-US"/>
              </w:rPr>
              <w:t xml:space="preserve">Liquidating partnerships </w:t>
            </w:r>
          </w:p>
        </w:tc>
        <w:tc>
          <w:tcPr>
            <w:tcW w:w="2070" w:type="dxa"/>
          </w:tcPr>
          <w:p w:rsidR="001C2BB1" w:rsidRPr="00FB02B7" w:rsidRDefault="001C2BB1" w:rsidP="001F3695">
            <w:pPr>
              <w:pStyle w:val="NormalWeb"/>
              <w:spacing w:before="0" w:beforeAutospacing="0" w:after="0" w:afterAutospacing="0"/>
              <w:rPr>
                <w:rFonts w:ascii="Cambria" w:hAnsi="Cambria"/>
                <w:lang w:val="en-GB" w:eastAsia="en-US"/>
              </w:rPr>
            </w:pPr>
            <w:r w:rsidRPr="00FB02B7">
              <w:rPr>
                <w:rFonts w:ascii="Cambria" w:hAnsi="Cambria"/>
                <w:sz w:val="22"/>
                <w:szCs w:val="22"/>
                <w:lang w:val="en-GB" w:eastAsia="en-US"/>
              </w:rPr>
              <w:t>Fees and warren</w:t>
            </w:r>
          </w:p>
          <w:p w:rsidR="001C2BB1" w:rsidRPr="00FB02B7" w:rsidRDefault="001C2BB1" w:rsidP="001F3695">
            <w:pPr>
              <w:pStyle w:val="NormalWeb"/>
              <w:spacing w:before="0" w:beforeAutospacing="0" w:after="0" w:afterAutospacing="0"/>
              <w:rPr>
                <w:rFonts w:ascii="Cambria" w:hAnsi="Cambria"/>
                <w:lang w:val="en-GB" w:eastAsia="en-US"/>
              </w:rPr>
            </w:pPr>
            <w:r w:rsidRPr="00FB02B7">
              <w:rPr>
                <w:rFonts w:ascii="Cambria" w:hAnsi="Cambria"/>
                <w:sz w:val="22"/>
                <w:szCs w:val="22"/>
                <w:lang w:val="en-GB" w:eastAsia="en-US"/>
              </w:rPr>
              <w:t>PP.505-534</w:t>
            </w:r>
          </w:p>
          <w:p w:rsidR="001C2BB1" w:rsidRPr="00FB02B7" w:rsidRDefault="001C2BB1" w:rsidP="001F3695">
            <w:pPr>
              <w:rPr>
                <w:rFonts w:ascii="Cambria" w:hAnsi="Cambria"/>
              </w:rPr>
            </w:pPr>
          </w:p>
        </w:tc>
      </w:tr>
      <w:tr w:rsidR="001C2BB1" w:rsidRPr="00FB02B7" w:rsidTr="001F3695">
        <w:trPr>
          <w:trHeight w:val="2770"/>
        </w:trPr>
        <w:tc>
          <w:tcPr>
            <w:tcW w:w="2391" w:type="dxa"/>
            <w:gridSpan w:val="2"/>
          </w:tcPr>
          <w:p w:rsidR="001C2BB1" w:rsidRPr="00FB02B7" w:rsidRDefault="001C2BB1" w:rsidP="001F3695">
            <w:pPr>
              <w:ind w:right="194"/>
              <w:jc w:val="both"/>
              <w:rPr>
                <w:rFonts w:ascii="Cambria" w:hAnsi="Cambria" w:cs="Calibri"/>
                <w:b/>
              </w:rPr>
            </w:pPr>
          </w:p>
          <w:p w:rsidR="001C2BB1" w:rsidRPr="00FB02B7" w:rsidRDefault="001C2BB1" w:rsidP="001F3695">
            <w:pPr>
              <w:ind w:right="194"/>
              <w:jc w:val="both"/>
              <w:rPr>
                <w:rFonts w:ascii="Cambria" w:hAnsi="Cambria" w:cs="Calibri"/>
                <w:b/>
                <w:sz w:val="20"/>
                <w:szCs w:val="20"/>
              </w:rPr>
            </w:pPr>
            <w:r w:rsidRPr="00FB02B7">
              <w:rPr>
                <w:rFonts w:ascii="Cambria" w:hAnsi="Cambria" w:cs="Calibri"/>
                <w:b/>
                <w:sz w:val="20"/>
                <w:szCs w:val="20"/>
              </w:rPr>
              <w:t>4 WEEKS</w:t>
            </w:r>
          </w:p>
          <w:p w:rsidR="001C2BB1" w:rsidRPr="00FB02B7" w:rsidRDefault="001C2BB1" w:rsidP="001F3695">
            <w:pPr>
              <w:ind w:right="194"/>
              <w:jc w:val="both"/>
              <w:rPr>
                <w:rFonts w:ascii="Cambria" w:hAnsi="Cambria" w:cs="Calibri"/>
                <w:b/>
              </w:rPr>
            </w:pPr>
            <w:r w:rsidRPr="00FB02B7">
              <w:rPr>
                <w:rFonts w:ascii="Cambria" w:hAnsi="Cambria" w:cs="Calibri"/>
                <w:b/>
                <w:sz w:val="20"/>
                <w:szCs w:val="20"/>
              </w:rPr>
              <w:t>{12</w:t>
            </w:r>
            <w:r w:rsidRPr="00FB02B7">
              <w:rPr>
                <w:rFonts w:ascii="Cambria" w:hAnsi="Cambria" w:cs="Calibri"/>
                <w:b/>
                <w:sz w:val="20"/>
                <w:szCs w:val="20"/>
                <w:vertAlign w:val="superscript"/>
              </w:rPr>
              <w:t>TH</w:t>
            </w:r>
            <w:r w:rsidRPr="00FB02B7">
              <w:rPr>
                <w:rFonts w:ascii="Cambria" w:hAnsi="Cambria" w:cs="Calibri"/>
                <w:b/>
                <w:sz w:val="20"/>
                <w:szCs w:val="20"/>
              </w:rPr>
              <w:t xml:space="preserve"> ,13</w:t>
            </w:r>
            <w:r w:rsidRPr="00FB02B7">
              <w:rPr>
                <w:rFonts w:ascii="Cambria" w:hAnsi="Cambria" w:cs="Calibri"/>
                <w:b/>
                <w:sz w:val="20"/>
                <w:szCs w:val="20"/>
                <w:vertAlign w:val="superscript"/>
              </w:rPr>
              <w:t>TH</w:t>
            </w:r>
            <w:r w:rsidRPr="00FB02B7">
              <w:rPr>
                <w:rFonts w:ascii="Cambria" w:hAnsi="Cambria" w:cs="Calibri"/>
                <w:b/>
                <w:sz w:val="20"/>
                <w:szCs w:val="20"/>
              </w:rPr>
              <w:t xml:space="preserve"> ,14</w:t>
            </w:r>
            <w:r w:rsidRPr="00FB02B7">
              <w:rPr>
                <w:rFonts w:ascii="Cambria" w:hAnsi="Cambria" w:cs="Calibri"/>
                <w:b/>
                <w:sz w:val="20"/>
                <w:szCs w:val="20"/>
                <w:vertAlign w:val="superscript"/>
              </w:rPr>
              <w:t>TH</w:t>
            </w:r>
            <w:r w:rsidRPr="00FB02B7">
              <w:rPr>
                <w:rFonts w:ascii="Cambria" w:hAnsi="Cambria" w:cs="Calibri"/>
                <w:b/>
                <w:sz w:val="20"/>
                <w:szCs w:val="20"/>
              </w:rPr>
              <w:t>&amp;15</w:t>
            </w:r>
            <w:r w:rsidRPr="00FB02B7">
              <w:rPr>
                <w:rFonts w:ascii="Cambria" w:hAnsi="Cambria" w:cs="Calibri"/>
                <w:b/>
                <w:sz w:val="20"/>
                <w:szCs w:val="20"/>
                <w:vertAlign w:val="superscript"/>
              </w:rPr>
              <w:t>TH</w:t>
            </w:r>
            <w:r w:rsidRPr="00FB02B7">
              <w:rPr>
                <w:rFonts w:ascii="Cambria" w:hAnsi="Cambria" w:cs="Calibri"/>
                <w:b/>
                <w:sz w:val="20"/>
                <w:szCs w:val="20"/>
              </w:rPr>
              <w:t xml:space="preserve"> }</w:t>
            </w:r>
          </w:p>
        </w:tc>
        <w:tc>
          <w:tcPr>
            <w:tcW w:w="5416" w:type="dxa"/>
          </w:tcPr>
          <w:p w:rsidR="001C2BB1" w:rsidRPr="00FB02B7" w:rsidRDefault="001C2BB1" w:rsidP="001C2BB1">
            <w:pPr>
              <w:pStyle w:val="ListParagraph"/>
              <w:numPr>
                <w:ilvl w:val="0"/>
                <w:numId w:val="3"/>
              </w:numPr>
              <w:ind w:left="284" w:right="194" w:hanging="284"/>
              <w:jc w:val="both"/>
              <w:rPr>
                <w:rFonts w:ascii="Cambria" w:hAnsi="Cambria" w:cs="Calibri"/>
                <w:lang w:val="en-US" w:eastAsia="en-US"/>
              </w:rPr>
            </w:pPr>
            <w:r w:rsidRPr="00FB02B7">
              <w:rPr>
                <w:rFonts w:ascii="Cambria" w:hAnsi="Cambria" w:cs="Calibri"/>
                <w:lang w:val="en-US" w:eastAsia="en-US"/>
              </w:rPr>
              <w:t>Accounting for Corporations</w:t>
            </w:r>
          </w:p>
          <w:p w:rsidR="001C2BB1" w:rsidRPr="00FB02B7" w:rsidRDefault="001C2BB1" w:rsidP="001C2BB1">
            <w:pPr>
              <w:pStyle w:val="ListParagraph"/>
              <w:numPr>
                <w:ilvl w:val="1"/>
                <w:numId w:val="3"/>
              </w:numPr>
              <w:ind w:right="194"/>
              <w:jc w:val="both"/>
              <w:rPr>
                <w:rFonts w:ascii="Cambria" w:hAnsi="Cambria" w:cs="Calibri"/>
                <w:lang w:val="en-US" w:eastAsia="en-US"/>
              </w:rPr>
            </w:pPr>
            <w:r w:rsidRPr="00FB02B7">
              <w:rPr>
                <w:rFonts w:ascii="Cambria" w:hAnsi="Cambria" w:cs="Calibri"/>
                <w:lang w:val="en-US" w:eastAsia="en-US"/>
              </w:rPr>
              <w:t>Basic characteristics of Corporations/Share Companies and PLCs/</w:t>
            </w:r>
          </w:p>
          <w:p w:rsidR="001C2BB1" w:rsidRPr="00FB02B7" w:rsidRDefault="001C2BB1" w:rsidP="001C2BB1">
            <w:pPr>
              <w:pStyle w:val="ListParagraph"/>
              <w:numPr>
                <w:ilvl w:val="1"/>
                <w:numId w:val="3"/>
              </w:numPr>
              <w:ind w:right="194"/>
              <w:jc w:val="both"/>
              <w:rPr>
                <w:rFonts w:ascii="Cambria" w:hAnsi="Cambria" w:cs="Calibri"/>
                <w:lang w:val="en-US" w:eastAsia="en-US"/>
              </w:rPr>
            </w:pPr>
            <w:r w:rsidRPr="00FB02B7">
              <w:rPr>
                <w:rFonts w:ascii="Cambria" w:hAnsi="Cambria" w:cs="Calibri"/>
                <w:lang w:val="en-US" w:eastAsia="en-US"/>
              </w:rPr>
              <w:t xml:space="preserve">Classes of shares </w:t>
            </w:r>
          </w:p>
          <w:p w:rsidR="001C2BB1" w:rsidRPr="00FB02B7" w:rsidRDefault="001C2BB1" w:rsidP="001C2BB1">
            <w:pPr>
              <w:pStyle w:val="ListParagraph"/>
              <w:numPr>
                <w:ilvl w:val="1"/>
                <w:numId w:val="3"/>
              </w:numPr>
              <w:ind w:right="194"/>
              <w:jc w:val="both"/>
              <w:rPr>
                <w:rFonts w:ascii="Cambria" w:hAnsi="Cambria" w:cs="Calibri"/>
                <w:lang w:val="en-US" w:eastAsia="en-US"/>
              </w:rPr>
            </w:pPr>
            <w:r w:rsidRPr="00FB02B7">
              <w:rPr>
                <w:rFonts w:ascii="Cambria" w:hAnsi="Cambria" w:cs="Calibri"/>
                <w:lang w:val="en-US" w:eastAsia="en-US"/>
              </w:rPr>
              <w:t xml:space="preserve">Issuing shares </w:t>
            </w:r>
          </w:p>
          <w:p w:rsidR="001C2BB1" w:rsidRPr="001C2BB1" w:rsidRDefault="001C2BB1" w:rsidP="001C2BB1">
            <w:pPr>
              <w:pStyle w:val="ListParagraph"/>
              <w:numPr>
                <w:ilvl w:val="1"/>
                <w:numId w:val="3"/>
              </w:numPr>
              <w:ind w:right="194"/>
              <w:jc w:val="both"/>
              <w:rPr>
                <w:rFonts w:ascii="Cambria" w:hAnsi="Cambria" w:cs="Calibri"/>
                <w:lang w:val="en-US" w:eastAsia="en-US"/>
              </w:rPr>
            </w:pPr>
            <w:r w:rsidRPr="001C2BB1">
              <w:rPr>
                <w:rFonts w:ascii="Cambria" w:hAnsi="Cambria" w:cs="Calibri"/>
                <w:lang w:val="en-US" w:eastAsia="en-US"/>
              </w:rPr>
              <w:t xml:space="preserve">Treasury stock transactions Accounting  for dividends </w:t>
            </w:r>
          </w:p>
          <w:p w:rsidR="001C2BB1" w:rsidRPr="00FB02B7" w:rsidRDefault="001C2BB1" w:rsidP="001C2BB1">
            <w:pPr>
              <w:pStyle w:val="ListParagraph"/>
              <w:numPr>
                <w:ilvl w:val="1"/>
                <w:numId w:val="3"/>
              </w:numPr>
              <w:ind w:right="194"/>
              <w:jc w:val="both"/>
              <w:rPr>
                <w:rFonts w:ascii="Cambria" w:hAnsi="Cambria" w:cs="Calibri"/>
                <w:lang w:val="en-US" w:eastAsia="en-US"/>
              </w:rPr>
            </w:pPr>
            <w:r w:rsidRPr="00FB02B7">
              <w:rPr>
                <w:rFonts w:ascii="Cambria" w:hAnsi="Cambria" w:cs="Calibri"/>
                <w:lang w:val="en-US" w:eastAsia="en-US"/>
              </w:rPr>
              <w:t xml:space="preserve">Earnings per common share </w:t>
            </w:r>
          </w:p>
          <w:p w:rsidR="001C2BB1" w:rsidRPr="00FB02B7" w:rsidRDefault="001C2BB1" w:rsidP="001C2BB1">
            <w:pPr>
              <w:pStyle w:val="ListParagraph"/>
              <w:numPr>
                <w:ilvl w:val="1"/>
                <w:numId w:val="3"/>
              </w:numPr>
              <w:ind w:right="194"/>
              <w:jc w:val="both"/>
              <w:rPr>
                <w:rFonts w:ascii="Cambria" w:hAnsi="Cambria" w:cs="Calibri"/>
                <w:lang w:val="en-US" w:eastAsia="en-US"/>
              </w:rPr>
            </w:pPr>
            <w:r w:rsidRPr="00FB02B7">
              <w:rPr>
                <w:rFonts w:ascii="Cambria" w:hAnsi="Cambria" w:cs="Calibri"/>
                <w:lang w:val="en-US" w:eastAsia="en-US"/>
              </w:rPr>
              <w:t xml:space="preserve">Reporting shareholders’ equity on the balance sheet </w:t>
            </w:r>
          </w:p>
          <w:p w:rsidR="001C2BB1" w:rsidRPr="00FB02B7" w:rsidRDefault="001C2BB1" w:rsidP="001F3695">
            <w:pPr>
              <w:ind w:right="194"/>
              <w:jc w:val="both"/>
              <w:rPr>
                <w:rFonts w:ascii="Cambria" w:hAnsi="Cambria" w:cs="Calibri"/>
              </w:rPr>
            </w:pPr>
          </w:p>
        </w:tc>
        <w:tc>
          <w:tcPr>
            <w:tcW w:w="2070" w:type="dxa"/>
          </w:tcPr>
          <w:p w:rsidR="001C2BB1" w:rsidRPr="00FB02B7" w:rsidRDefault="001C2BB1" w:rsidP="001F3695">
            <w:pPr>
              <w:pStyle w:val="NormalWeb"/>
              <w:spacing w:before="0" w:beforeAutospacing="0" w:after="0" w:afterAutospacing="0"/>
              <w:rPr>
                <w:rFonts w:ascii="Cambria" w:hAnsi="Cambria"/>
                <w:lang w:val="en-GB" w:eastAsia="en-US"/>
              </w:rPr>
            </w:pPr>
            <w:r w:rsidRPr="00FB02B7">
              <w:rPr>
                <w:rFonts w:ascii="Cambria" w:hAnsi="Cambria"/>
                <w:sz w:val="22"/>
                <w:szCs w:val="22"/>
                <w:lang w:val="en-GB" w:eastAsia="en-US"/>
              </w:rPr>
              <w:t>Fees and warren</w:t>
            </w:r>
          </w:p>
          <w:p w:rsidR="001C2BB1" w:rsidRPr="00FB02B7" w:rsidRDefault="001C2BB1" w:rsidP="001F3695">
            <w:pPr>
              <w:pStyle w:val="NormalWeb"/>
              <w:spacing w:before="0" w:beforeAutospacing="0" w:after="0" w:afterAutospacing="0"/>
              <w:rPr>
                <w:rFonts w:ascii="Cambria" w:hAnsi="Cambria"/>
                <w:lang w:val="en-GB" w:eastAsia="en-US"/>
              </w:rPr>
            </w:pPr>
            <w:r w:rsidRPr="00FB02B7">
              <w:rPr>
                <w:rFonts w:ascii="Cambria" w:hAnsi="Cambria"/>
                <w:sz w:val="22"/>
                <w:szCs w:val="22"/>
                <w:lang w:val="en-GB" w:eastAsia="en-US"/>
              </w:rPr>
              <w:t>PP.537-564</w:t>
            </w:r>
          </w:p>
          <w:p w:rsidR="001C2BB1" w:rsidRPr="00FB02B7" w:rsidRDefault="001C2BB1" w:rsidP="001F3695">
            <w:pPr>
              <w:rPr>
                <w:rFonts w:ascii="Cambria" w:hAnsi="Cambria"/>
              </w:rPr>
            </w:pPr>
          </w:p>
        </w:tc>
      </w:tr>
      <w:tr w:rsidR="001C2BB1" w:rsidRPr="00FB02B7" w:rsidTr="001F3695">
        <w:trPr>
          <w:trHeight w:val="142"/>
        </w:trPr>
        <w:tc>
          <w:tcPr>
            <w:tcW w:w="2047" w:type="dxa"/>
          </w:tcPr>
          <w:p w:rsidR="001C2BB1" w:rsidRPr="00FB02B7" w:rsidRDefault="001C2BB1" w:rsidP="001F3695">
            <w:pPr>
              <w:ind w:right="194"/>
              <w:jc w:val="both"/>
              <w:rPr>
                <w:rFonts w:ascii="Cambria" w:hAnsi="Cambria" w:cs="Calibri"/>
              </w:rPr>
            </w:pPr>
            <w:r w:rsidRPr="00FB02B7">
              <w:rPr>
                <w:rFonts w:ascii="Cambria" w:hAnsi="Cambria" w:cs="Calibri"/>
                <w:sz w:val="22"/>
                <w:szCs w:val="22"/>
              </w:rPr>
              <w:t>Teaching &amp; Learning Methods/strategy</w:t>
            </w:r>
          </w:p>
        </w:tc>
        <w:tc>
          <w:tcPr>
            <w:tcW w:w="7830" w:type="dxa"/>
            <w:gridSpan w:val="3"/>
          </w:tcPr>
          <w:p w:rsidR="001C2BB1" w:rsidRPr="00FB02B7" w:rsidRDefault="001C2BB1" w:rsidP="001F3695">
            <w:pPr>
              <w:autoSpaceDE w:val="0"/>
              <w:autoSpaceDN w:val="0"/>
              <w:adjustRightInd w:val="0"/>
              <w:ind w:right="194"/>
              <w:jc w:val="both"/>
              <w:rPr>
                <w:rFonts w:ascii="Cambria" w:eastAsia="Calibri" w:hAnsi="Cambria" w:cs="Calibri"/>
              </w:rPr>
            </w:pPr>
            <w:r w:rsidRPr="00FB02B7">
              <w:rPr>
                <w:rFonts w:ascii="Cambria" w:eastAsia="Calibri" w:hAnsi="Cambria" w:cs="Calibri"/>
                <w:sz w:val="22"/>
                <w:szCs w:val="22"/>
              </w:rPr>
              <w:t xml:space="preserve">The teaching and learning methodology include lecturing, discussions, problem solving, and analysis. Take-home assignment will be given at the end of each chapter for submission within a week. Solution to the assignments will be given once assignments are collected. Cases with local relevance will also be given for each chapter for group of students to present in a class room. The full and active participation of students is highly encouraged.  </w:t>
            </w:r>
          </w:p>
          <w:p w:rsidR="001C2BB1" w:rsidRPr="00FB02B7" w:rsidRDefault="001C2BB1" w:rsidP="001F3695">
            <w:pPr>
              <w:autoSpaceDE w:val="0"/>
              <w:autoSpaceDN w:val="0"/>
              <w:adjustRightInd w:val="0"/>
              <w:ind w:right="194"/>
              <w:jc w:val="both"/>
              <w:rPr>
                <w:rFonts w:ascii="Cambria" w:hAnsi="Cambria" w:cs="Calibri"/>
                <w:sz w:val="20"/>
                <w:szCs w:val="20"/>
              </w:rPr>
            </w:pPr>
          </w:p>
        </w:tc>
      </w:tr>
      <w:tr w:rsidR="001C2BB1" w:rsidRPr="00FB02B7" w:rsidTr="001F3695">
        <w:trPr>
          <w:trHeight w:val="530"/>
        </w:trPr>
        <w:tc>
          <w:tcPr>
            <w:tcW w:w="2047" w:type="dxa"/>
          </w:tcPr>
          <w:p w:rsidR="001C2BB1" w:rsidRPr="00FB02B7" w:rsidRDefault="001C2BB1" w:rsidP="001F3695">
            <w:pPr>
              <w:ind w:right="194"/>
              <w:jc w:val="both"/>
              <w:rPr>
                <w:rFonts w:ascii="Cambria" w:hAnsi="Cambria" w:cs="Calibri"/>
              </w:rPr>
            </w:pPr>
            <w:r w:rsidRPr="00FB02B7">
              <w:rPr>
                <w:rFonts w:ascii="Cambria" w:hAnsi="Cambria" w:cs="Calibri"/>
                <w:sz w:val="22"/>
                <w:szCs w:val="22"/>
              </w:rPr>
              <w:t xml:space="preserve">Assessment/Evaluation </w:t>
            </w:r>
          </w:p>
          <w:p w:rsidR="001C2BB1" w:rsidRPr="00FB02B7" w:rsidRDefault="001C2BB1" w:rsidP="001F3695">
            <w:pPr>
              <w:ind w:right="194"/>
              <w:jc w:val="both"/>
              <w:rPr>
                <w:rFonts w:ascii="Cambria" w:eastAsia="Calibri" w:hAnsi="Cambria" w:cs="Calibri"/>
              </w:rPr>
            </w:pPr>
          </w:p>
          <w:p w:rsidR="001C2BB1" w:rsidRPr="00FB02B7" w:rsidRDefault="001C2BB1" w:rsidP="001F3695">
            <w:pPr>
              <w:autoSpaceDE w:val="0"/>
              <w:autoSpaceDN w:val="0"/>
              <w:adjustRightInd w:val="0"/>
              <w:ind w:right="194"/>
              <w:jc w:val="both"/>
              <w:rPr>
                <w:rFonts w:ascii="Cambria" w:hAnsi="Cambria" w:cs="Calibri"/>
                <w:sz w:val="16"/>
                <w:szCs w:val="16"/>
              </w:rPr>
            </w:pPr>
          </w:p>
        </w:tc>
        <w:tc>
          <w:tcPr>
            <w:tcW w:w="7830" w:type="dxa"/>
            <w:gridSpan w:val="3"/>
          </w:tcPr>
          <w:p w:rsidR="001C2BB1" w:rsidRPr="00FB02B7" w:rsidRDefault="001C2BB1" w:rsidP="001F3695">
            <w:pPr>
              <w:ind w:right="194"/>
              <w:jc w:val="both"/>
              <w:rPr>
                <w:rFonts w:ascii="Cambria" w:hAnsi="Cambria" w:cs="Calibri"/>
              </w:rPr>
            </w:pPr>
            <w:r w:rsidRPr="00FB02B7">
              <w:rPr>
                <w:rFonts w:ascii="Cambria" w:hAnsi="Cambria" w:cs="Calibri"/>
                <w:sz w:val="22"/>
                <w:szCs w:val="22"/>
              </w:rPr>
              <w:t xml:space="preserve">The evaluation scheme will be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2"/>
              <w:gridCol w:w="1626"/>
              <w:gridCol w:w="2236"/>
            </w:tblGrid>
            <w:tr w:rsidR="001C2BB1" w:rsidRPr="00FB02B7" w:rsidTr="001F3695">
              <w:trPr>
                <w:trHeight w:val="247"/>
              </w:trPr>
              <w:tc>
                <w:tcPr>
                  <w:tcW w:w="2382" w:type="dxa"/>
                </w:tcPr>
                <w:p w:rsidR="001C2BB1" w:rsidRPr="00FB02B7" w:rsidRDefault="001C2BB1" w:rsidP="001F3695">
                  <w:pPr>
                    <w:ind w:right="194"/>
                    <w:jc w:val="both"/>
                    <w:rPr>
                      <w:rFonts w:ascii="Cambria" w:hAnsi="Cambria"/>
                    </w:rPr>
                  </w:pPr>
                  <w:r w:rsidRPr="00FB02B7">
                    <w:rPr>
                      <w:rFonts w:ascii="Cambria" w:hAnsi="Cambria"/>
                      <w:sz w:val="22"/>
                      <w:szCs w:val="22"/>
                    </w:rPr>
                    <w:t>Component</w:t>
                  </w:r>
                </w:p>
              </w:tc>
              <w:tc>
                <w:tcPr>
                  <w:tcW w:w="1626" w:type="dxa"/>
                </w:tcPr>
                <w:p w:rsidR="001C2BB1" w:rsidRPr="00FB02B7" w:rsidRDefault="001C2BB1" w:rsidP="001F3695">
                  <w:pPr>
                    <w:ind w:right="194"/>
                    <w:jc w:val="both"/>
                    <w:rPr>
                      <w:rFonts w:ascii="Cambria" w:hAnsi="Cambria"/>
                    </w:rPr>
                  </w:pPr>
                  <w:r w:rsidRPr="00FB02B7">
                    <w:rPr>
                      <w:rFonts w:ascii="Cambria" w:hAnsi="Cambria"/>
                      <w:sz w:val="22"/>
                      <w:szCs w:val="22"/>
                    </w:rPr>
                    <w:t xml:space="preserve">Weight </w:t>
                  </w:r>
                </w:p>
              </w:tc>
              <w:tc>
                <w:tcPr>
                  <w:tcW w:w="2236" w:type="dxa"/>
                </w:tcPr>
                <w:p w:rsidR="001C2BB1" w:rsidRPr="00FB02B7" w:rsidRDefault="004F27D4" w:rsidP="001F3695">
                  <w:pPr>
                    <w:ind w:right="194"/>
                    <w:jc w:val="both"/>
                    <w:rPr>
                      <w:rFonts w:ascii="Cambria" w:hAnsi="Cambria"/>
                    </w:rPr>
                  </w:pPr>
                  <w:r w:rsidRPr="00FB02B7">
                    <w:rPr>
                      <w:rFonts w:ascii="Cambria" w:hAnsi="Cambria"/>
                      <w:sz w:val="22"/>
                      <w:szCs w:val="22"/>
                    </w:rPr>
                    <w:t>C</w:t>
                  </w:r>
                  <w:r w:rsidR="001C2BB1" w:rsidRPr="00FB02B7">
                    <w:rPr>
                      <w:rFonts w:ascii="Cambria" w:hAnsi="Cambria"/>
                      <w:sz w:val="22"/>
                      <w:szCs w:val="22"/>
                    </w:rPr>
                    <w:t>overage</w:t>
                  </w:r>
                </w:p>
              </w:tc>
            </w:tr>
            <w:tr w:rsidR="001C2BB1" w:rsidRPr="00FB02B7" w:rsidTr="001F3695">
              <w:trPr>
                <w:trHeight w:val="262"/>
              </w:trPr>
              <w:tc>
                <w:tcPr>
                  <w:tcW w:w="2382" w:type="dxa"/>
                </w:tcPr>
                <w:p w:rsidR="001C2BB1" w:rsidRPr="00FB02B7" w:rsidRDefault="001C2BB1" w:rsidP="001F3695">
                  <w:pPr>
                    <w:ind w:right="194"/>
                    <w:jc w:val="both"/>
                    <w:rPr>
                      <w:rFonts w:ascii="Cambria" w:hAnsi="Cambria"/>
                    </w:rPr>
                  </w:pPr>
                  <w:r w:rsidRPr="00FB02B7">
                    <w:rPr>
                      <w:rFonts w:ascii="Cambria" w:hAnsi="Cambria"/>
                      <w:sz w:val="22"/>
                      <w:szCs w:val="22"/>
                    </w:rPr>
                    <w:t>Test 1</w:t>
                  </w:r>
                </w:p>
              </w:tc>
              <w:tc>
                <w:tcPr>
                  <w:tcW w:w="1626" w:type="dxa"/>
                </w:tcPr>
                <w:p w:rsidR="001C2BB1" w:rsidRPr="00FB02B7" w:rsidRDefault="006B3FC5" w:rsidP="001F3695">
                  <w:pPr>
                    <w:ind w:right="194"/>
                    <w:jc w:val="both"/>
                    <w:rPr>
                      <w:rFonts w:ascii="Cambria" w:hAnsi="Cambria"/>
                    </w:rPr>
                  </w:pPr>
                  <w:r>
                    <w:rPr>
                      <w:rFonts w:ascii="Cambria" w:hAnsi="Cambria"/>
                      <w:sz w:val="22"/>
                      <w:szCs w:val="22"/>
                    </w:rPr>
                    <w:t>10</w:t>
                  </w:r>
                  <w:r w:rsidR="001C2BB1" w:rsidRPr="00FB02B7">
                    <w:rPr>
                      <w:rFonts w:ascii="Cambria" w:hAnsi="Cambria"/>
                      <w:sz w:val="22"/>
                      <w:szCs w:val="22"/>
                    </w:rPr>
                    <w:t>%</w:t>
                  </w:r>
                </w:p>
              </w:tc>
              <w:tc>
                <w:tcPr>
                  <w:tcW w:w="2236" w:type="dxa"/>
                </w:tcPr>
                <w:p w:rsidR="001C2BB1" w:rsidRPr="00FB02B7" w:rsidRDefault="001C2BB1" w:rsidP="001F3695">
                  <w:pPr>
                    <w:ind w:right="194"/>
                    <w:jc w:val="both"/>
                    <w:rPr>
                      <w:rFonts w:ascii="Cambria" w:hAnsi="Cambria"/>
                    </w:rPr>
                  </w:pPr>
                  <w:r>
                    <w:rPr>
                      <w:rFonts w:ascii="Cambria" w:hAnsi="Cambria"/>
                      <w:sz w:val="22"/>
                      <w:szCs w:val="22"/>
                    </w:rPr>
                    <w:t xml:space="preserve">Chapter 1 </w:t>
                  </w:r>
                </w:p>
              </w:tc>
            </w:tr>
            <w:tr w:rsidR="001C2BB1" w:rsidRPr="00FB02B7" w:rsidTr="001F3695">
              <w:trPr>
                <w:trHeight w:val="262"/>
              </w:trPr>
              <w:tc>
                <w:tcPr>
                  <w:tcW w:w="2382" w:type="dxa"/>
                </w:tcPr>
                <w:p w:rsidR="001C2BB1" w:rsidRPr="00FB02B7" w:rsidRDefault="001C2BB1" w:rsidP="001F3695">
                  <w:pPr>
                    <w:ind w:right="194"/>
                    <w:jc w:val="both"/>
                    <w:rPr>
                      <w:rFonts w:ascii="Cambria" w:hAnsi="Cambria"/>
                    </w:rPr>
                  </w:pPr>
                  <w:r w:rsidRPr="00FB02B7">
                    <w:rPr>
                      <w:rFonts w:ascii="Cambria" w:hAnsi="Cambria"/>
                      <w:sz w:val="22"/>
                      <w:szCs w:val="22"/>
                    </w:rPr>
                    <w:t>Test 2</w:t>
                  </w:r>
                </w:p>
              </w:tc>
              <w:tc>
                <w:tcPr>
                  <w:tcW w:w="1626" w:type="dxa"/>
                </w:tcPr>
                <w:p w:rsidR="001C2BB1" w:rsidRPr="00FB02B7" w:rsidRDefault="006B7500" w:rsidP="001F3695">
                  <w:pPr>
                    <w:ind w:right="194"/>
                    <w:jc w:val="both"/>
                    <w:rPr>
                      <w:rFonts w:ascii="Cambria" w:hAnsi="Cambria"/>
                    </w:rPr>
                  </w:pPr>
                  <w:r>
                    <w:rPr>
                      <w:rFonts w:ascii="Cambria" w:hAnsi="Cambria"/>
                      <w:sz w:val="22"/>
                      <w:szCs w:val="22"/>
                    </w:rPr>
                    <w:t>10</w:t>
                  </w:r>
                  <w:r w:rsidR="001C2BB1" w:rsidRPr="00FB02B7">
                    <w:rPr>
                      <w:rFonts w:ascii="Cambria" w:hAnsi="Cambria"/>
                      <w:sz w:val="22"/>
                      <w:szCs w:val="22"/>
                    </w:rPr>
                    <w:t>%</w:t>
                  </w:r>
                </w:p>
              </w:tc>
              <w:tc>
                <w:tcPr>
                  <w:tcW w:w="2236" w:type="dxa"/>
                </w:tcPr>
                <w:p w:rsidR="001C2BB1" w:rsidRPr="00FB02B7" w:rsidRDefault="001C2BB1" w:rsidP="001F3695">
                  <w:pPr>
                    <w:ind w:right="194"/>
                    <w:jc w:val="both"/>
                    <w:rPr>
                      <w:rFonts w:ascii="Cambria" w:hAnsi="Cambria"/>
                    </w:rPr>
                  </w:pPr>
                  <w:r>
                    <w:rPr>
                      <w:rFonts w:ascii="Cambria" w:hAnsi="Cambria"/>
                      <w:sz w:val="22"/>
                      <w:szCs w:val="22"/>
                    </w:rPr>
                    <w:t>Chapter 2</w:t>
                  </w:r>
                </w:p>
              </w:tc>
            </w:tr>
            <w:tr w:rsidR="001C2BB1" w:rsidRPr="00FB02B7" w:rsidTr="001F3695">
              <w:trPr>
                <w:trHeight w:val="247"/>
              </w:trPr>
              <w:tc>
                <w:tcPr>
                  <w:tcW w:w="2382" w:type="dxa"/>
                </w:tcPr>
                <w:p w:rsidR="001C2BB1" w:rsidRPr="001C2BB1" w:rsidRDefault="001C2BB1" w:rsidP="001C2BB1">
                  <w:pPr>
                    <w:ind w:right="194"/>
                    <w:jc w:val="both"/>
                    <w:rPr>
                      <w:rFonts w:ascii="Cambria" w:hAnsi="Cambria"/>
                    </w:rPr>
                  </w:pPr>
                  <w:r>
                    <w:rPr>
                      <w:rFonts w:ascii="Cambria" w:hAnsi="Cambria"/>
                      <w:sz w:val="22"/>
                      <w:szCs w:val="22"/>
                    </w:rPr>
                    <w:t xml:space="preserve">Indi. Assignment </w:t>
                  </w:r>
                </w:p>
              </w:tc>
              <w:tc>
                <w:tcPr>
                  <w:tcW w:w="1626" w:type="dxa"/>
                </w:tcPr>
                <w:p w:rsidR="001C2BB1" w:rsidRPr="00FB02B7" w:rsidRDefault="008E0DB8" w:rsidP="001F3695">
                  <w:pPr>
                    <w:ind w:right="194"/>
                    <w:jc w:val="both"/>
                    <w:rPr>
                      <w:rFonts w:ascii="Cambria" w:hAnsi="Cambria"/>
                    </w:rPr>
                  </w:pPr>
                  <w:r>
                    <w:rPr>
                      <w:rFonts w:ascii="Cambria" w:hAnsi="Cambria"/>
                      <w:sz w:val="22"/>
                      <w:szCs w:val="22"/>
                    </w:rPr>
                    <w:t>15</w:t>
                  </w:r>
                  <w:r w:rsidR="001C2BB1" w:rsidRPr="00FB02B7">
                    <w:rPr>
                      <w:rFonts w:ascii="Cambria" w:hAnsi="Cambria"/>
                      <w:sz w:val="22"/>
                      <w:szCs w:val="22"/>
                    </w:rPr>
                    <w:t>%</w:t>
                  </w:r>
                </w:p>
              </w:tc>
              <w:tc>
                <w:tcPr>
                  <w:tcW w:w="2236" w:type="dxa"/>
                </w:tcPr>
                <w:p w:rsidR="001C2BB1" w:rsidRPr="00FB02B7" w:rsidRDefault="001C2BB1" w:rsidP="001F3695">
                  <w:pPr>
                    <w:ind w:right="194"/>
                    <w:jc w:val="both"/>
                    <w:rPr>
                      <w:rFonts w:ascii="Cambria" w:hAnsi="Cambria"/>
                    </w:rPr>
                  </w:pPr>
                </w:p>
              </w:tc>
            </w:tr>
            <w:tr w:rsidR="001C2BB1" w:rsidRPr="00FB02B7" w:rsidTr="001F3695">
              <w:trPr>
                <w:trHeight w:val="262"/>
              </w:trPr>
              <w:tc>
                <w:tcPr>
                  <w:tcW w:w="2382" w:type="dxa"/>
                </w:tcPr>
                <w:p w:rsidR="001C2BB1" w:rsidRPr="00FB02B7" w:rsidRDefault="001C2BB1" w:rsidP="001F3695">
                  <w:pPr>
                    <w:ind w:right="194"/>
                    <w:jc w:val="both"/>
                    <w:rPr>
                      <w:rFonts w:ascii="Cambria" w:hAnsi="Cambria"/>
                    </w:rPr>
                  </w:pPr>
                  <w:r>
                    <w:rPr>
                      <w:rFonts w:ascii="Cambria" w:hAnsi="Cambria"/>
                      <w:sz w:val="22"/>
                      <w:szCs w:val="22"/>
                    </w:rPr>
                    <w:t xml:space="preserve">Group Assignment </w:t>
                  </w:r>
                </w:p>
              </w:tc>
              <w:tc>
                <w:tcPr>
                  <w:tcW w:w="1626" w:type="dxa"/>
                </w:tcPr>
                <w:p w:rsidR="001C2BB1" w:rsidRPr="00FB02B7" w:rsidRDefault="001C2BB1" w:rsidP="001F3695">
                  <w:pPr>
                    <w:ind w:right="194"/>
                    <w:jc w:val="both"/>
                    <w:rPr>
                      <w:rFonts w:ascii="Cambria" w:hAnsi="Cambria"/>
                    </w:rPr>
                  </w:pPr>
                  <w:r>
                    <w:rPr>
                      <w:rFonts w:ascii="Cambria" w:hAnsi="Cambria"/>
                      <w:sz w:val="22"/>
                      <w:szCs w:val="22"/>
                    </w:rPr>
                    <w:t>10</w:t>
                  </w:r>
                  <w:r w:rsidRPr="00FB02B7">
                    <w:rPr>
                      <w:rFonts w:ascii="Cambria" w:hAnsi="Cambria"/>
                      <w:sz w:val="22"/>
                      <w:szCs w:val="22"/>
                    </w:rPr>
                    <w:t>%</w:t>
                  </w:r>
                </w:p>
              </w:tc>
              <w:tc>
                <w:tcPr>
                  <w:tcW w:w="2236" w:type="dxa"/>
                </w:tcPr>
                <w:p w:rsidR="001C2BB1" w:rsidRPr="00FB02B7" w:rsidRDefault="001C2BB1" w:rsidP="001F3695">
                  <w:pPr>
                    <w:ind w:right="194"/>
                    <w:jc w:val="both"/>
                    <w:rPr>
                      <w:rFonts w:ascii="Cambria" w:hAnsi="Cambria"/>
                    </w:rPr>
                  </w:pPr>
                </w:p>
              </w:tc>
            </w:tr>
            <w:tr w:rsidR="001C2BB1" w:rsidRPr="00FB02B7" w:rsidTr="001F3695">
              <w:trPr>
                <w:trHeight w:val="262"/>
              </w:trPr>
              <w:tc>
                <w:tcPr>
                  <w:tcW w:w="2382" w:type="dxa"/>
                </w:tcPr>
                <w:p w:rsidR="001C2BB1" w:rsidRPr="00FB02B7" w:rsidRDefault="008E0DB8" w:rsidP="001F3695">
                  <w:pPr>
                    <w:ind w:right="194"/>
                    <w:jc w:val="both"/>
                    <w:rPr>
                      <w:rFonts w:ascii="Cambria" w:hAnsi="Cambria"/>
                    </w:rPr>
                  </w:pPr>
                  <w:r>
                    <w:rPr>
                      <w:rFonts w:ascii="Cambria" w:hAnsi="Cambria"/>
                      <w:sz w:val="22"/>
                      <w:szCs w:val="22"/>
                    </w:rPr>
                    <w:t>Quiz 1</w:t>
                  </w:r>
                </w:p>
              </w:tc>
              <w:tc>
                <w:tcPr>
                  <w:tcW w:w="1626" w:type="dxa"/>
                </w:tcPr>
                <w:p w:rsidR="001C2BB1" w:rsidRPr="00FB02B7" w:rsidRDefault="006B7500" w:rsidP="001F3695">
                  <w:pPr>
                    <w:ind w:right="194"/>
                    <w:jc w:val="both"/>
                    <w:rPr>
                      <w:rFonts w:ascii="Cambria" w:hAnsi="Cambria"/>
                    </w:rPr>
                  </w:pPr>
                  <w:r>
                    <w:rPr>
                      <w:rFonts w:ascii="Cambria" w:hAnsi="Cambria"/>
                      <w:sz w:val="22"/>
                      <w:szCs w:val="22"/>
                    </w:rPr>
                    <w:t>5</w:t>
                  </w:r>
                  <w:r w:rsidR="001C2BB1" w:rsidRPr="00FB02B7">
                    <w:rPr>
                      <w:rFonts w:ascii="Cambria" w:hAnsi="Cambria"/>
                      <w:sz w:val="22"/>
                      <w:szCs w:val="22"/>
                    </w:rPr>
                    <w:t>%</w:t>
                  </w:r>
                </w:p>
              </w:tc>
              <w:tc>
                <w:tcPr>
                  <w:tcW w:w="2236" w:type="dxa"/>
                </w:tcPr>
                <w:p w:rsidR="001C2BB1" w:rsidRPr="00FB02B7" w:rsidRDefault="001C2BB1" w:rsidP="001F3695">
                  <w:pPr>
                    <w:ind w:right="194"/>
                    <w:jc w:val="both"/>
                    <w:rPr>
                      <w:rFonts w:ascii="Cambria" w:hAnsi="Cambria"/>
                    </w:rPr>
                  </w:pPr>
                </w:p>
              </w:tc>
            </w:tr>
            <w:tr w:rsidR="001C2BB1" w:rsidRPr="00FB02B7" w:rsidTr="001F3695">
              <w:trPr>
                <w:trHeight w:val="247"/>
              </w:trPr>
              <w:tc>
                <w:tcPr>
                  <w:tcW w:w="2382" w:type="dxa"/>
                </w:tcPr>
                <w:p w:rsidR="001C2BB1" w:rsidRPr="00FB02B7" w:rsidRDefault="001C2BB1" w:rsidP="001F3695">
                  <w:pPr>
                    <w:ind w:right="194"/>
                    <w:jc w:val="both"/>
                    <w:rPr>
                      <w:rFonts w:ascii="Cambria" w:hAnsi="Cambria"/>
                    </w:rPr>
                  </w:pPr>
                  <w:r w:rsidRPr="00FB02B7">
                    <w:rPr>
                      <w:rFonts w:ascii="Cambria" w:hAnsi="Cambria"/>
                      <w:sz w:val="22"/>
                      <w:szCs w:val="22"/>
                    </w:rPr>
                    <w:t>Final Exam</w:t>
                  </w:r>
                </w:p>
              </w:tc>
              <w:tc>
                <w:tcPr>
                  <w:tcW w:w="1626" w:type="dxa"/>
                </w:tcPr>
                <w:p w:rsidR="001C2BB1" w:rsidRPr="00FB02B7" w:rsidRDefault="001C2BB1" w:rsidP="001F3695">
                  <w:pPr>
                    <w:ind w:right="194"/>
                    <w:jc w:val="both"/>
                    <w:rPr>
                      <w:rFonts w:ascii="Cambria" w:hAnsi="Cambria"/>
                    </w:rPr>
                  </w:pPr>
                  <w:r w:rsidRPr="00FB02B7">
                    <w:rPr>
                      <w:rFonts w:ascii="Cambria" w:hAnsi="Cambria"/>
                      <w:sz w:val="22"/>
                      <w:szCs w:val="22"/>
                    </w:rPr>
                    <w:t>50%</w:t>
                  </w:r>
                </w:p>
              </w:tc>
              <w:tc>
                <w:tcPr>
                  <w:tcW w:w="2236" w:type="dxa"/>
                </w:tcPr>
                <w:p w:rsidR="001C2BB1" w:rsidRPr="00FB02B7" w:rsidRDefault="001C2BB1" w:rsidP="001F3695">
                  <w:pPr>
                    <w:ind w:right="194"/>
                    <w:jc w:val="both"/>
                    <w:rPr>
                      <w:rFonts w:ascii="Cambria" w:hAnsi="Cambria"/>
                    </w:rPr>
                  </w:pPr>
                  <w:r w:rsidRPr="00FB02B7">
                    <w:rPr>
                      <w:rFonts w:ascii="Cambria" w:hAnsi="Cambria"/>
                      <w:sz w:val="22"/>
                      <w:szCs w:val="22"/>
                    </w:rPr>
                    <w:t>All chapters</w:t>
                  </w:r>
                </w:p>
              </w:tc>
            </w:tr>
          </w:tbl>
          <w:p w:rsidR="001C2BB1" w:rsidRPr="00FB02B7" w:rsidRDefault="001C2BB1" w:rsidP="001F3695">
            <w:pPr>
              <w:ind w:right="194"/>
              <w:jc w:val="both"/>
              <w:rPr>
                <w:rFonts w:ascii="Cambria" w:hAnsi="Cambria" w:cs="Calibri"/>
                <w:sz w:val="20"/>
                <w:szCs w:val="20"/>
              </w:rPr>
            </w:pPr>
          </w:p>
        </w:tc>
      </w:tr>
      <w:tr w:rsidR="001C2BB1" w:rsidRPr="00FB02B7" w:rsidTr="001F3695">
        <w:trPr>
          <w:trHeight w:val="142"/>
        </w:trPr>
        <w:tc>
          <w:tcPr>
            <w:tcW w:w="2047" w:type="dxa"/>
          </w:tcPr>
          <w:p w:rsidR="001C2BB1" w:rsidRPr="00FB02B7" w:rsidRDefault="001C2BB1" w:rsidP="001F3695">
            <w:pPr>
              <w:ind w:right="194"/>
              <w:jc w:val="both"/>
              <w:rPr>
                <w:rFonts w:ascii="Cambria" w:hAnsi="Cambria" w:cs="Calibri"/>
              </w:rPr>
            </w:pPr>
            <w:r w:rsidRPr="00FB02B7">
              <w:rPr>
                <w:rFonts w:ascii="Cambria" w:hAnsi="Cambria" w:cs="Calibri"/>
                <w:sz w:val="22"/>
                <w:szCs w:val="22"/>
              </w:rPr>
              <w:t>Roles of the Instructor</w:t>
            </w:r>
          </w:p>
        </w:tc>
        <w:tc>
          <w:tcPr>
            <w:tcW w:w="7830" w:type="dxa"/>
            <w:gridSpan w:val="3"/>
          </w:tcPr>
          <w:p w:rsidR="001C2BB1" w:rsidRPr="00FB02B7" w:rsidRDefault="001C2BB1" w:rsidP="001F3695">
            <w:pPr>
              <w:ind w:right="194"/>
              <w:jc w:val="both"/>
              <w:rPr>
                <w:rFonts w:ascii="Cambria" w:hAnsi="Cambria" w:cs="Calibri"/>
              </w:rPr>
            </w:pPr>
            <w:r w:rsidRPr="00FB02B7">
              <w:rPr>
                <w:rFonts w:ascii="Cambria" w:hAnsi="Cambria" w:cs="Calibri"/>
                <w:sz w:val="22"/>
                <w:szCs w:val="22"/>
              </w:rPr>
              <w:t>He/she will come to the class regularly on time and deliver the lecture in a well-organized manner. Besides, at the end of each class he/she gives reading assignment for the next class. He/she will make sure that proper assessments is given. He/she is also responsible to give feedback for each assessment.</w:t>
            </w:r>
          </w:p>
          <w:p w:rsidR="001C2BB1" w:rsidRPr="00FB02B7" w:rsidRDefault="001C2BB1" w:rsidP="001F3695">
            <w:pPr>
              <w:ind w:right="194"/>
              <w:jc w:val="both"/>
              <w:rPr>
                <w:rFonts w:ascii="Cambria" w:hAnsi="Cambria" w:cs="Calibri"/>
              </w:rPr>
            </w:pPr>
          </w:p>
        </w:tc>
      </w:tr>
      <w:tr w:rsidR="001C2BB1" w:rsidRPr="00FB02B7" w:rsidTr="001F3695">
        <w:trPr>
          <w:trHeight w:val="2670"/>
        </w:trPr>
        <w:tc>
          <w:tcPr>
            <w:tcW w:w="2047" w:type="dxa"/>
          </w:tcPr>
          <w:p w:rsidR="001C2BB1" w:rsidRPr="00FB02B7" w:rsidRDefault="001C2BB1" w:rsidP="001F3695">
            <w:pPr>
              <w:ind w:right="194"/>
              <w:jc w:val="both"/>
              <w:rPr>
                <w:rFonts w:ascii="Cambria" w:hAnsi="Cambria" w:cs="Calibri"/>
              </w:rPr>
            </w:pPr>
            <w:r w:rsidRPr="00FB02B7">
              <w:rPr>
                <w:rFonts w:ascii="Cambria" w:hAnsi="Cambria" w:cs="Calibri"/>
                <w:sz w:val="22"/>
                <w:szCs w:val="22"/>
              </w:rPr>
              <w:lastRenderedPageBreak/>
              <w:t>Roles of the students</w:t>
            </w:r>
          </w:p>
        </w:tc>
        <w:tc>
          <w:tcPr>
            <w:tcW w:w="7830" w:type="dxa"/>
            <w:gridSpan w:val="3"/>
          </w:tcPr>
          <w:p w:rsidR="001C2BB1" w:rsidRPr="00FB02B7" w:rsidRDefault="001C2BB1" w:rsidP="001F3695">
            <w:pPr>
              <w:ind w:right="194"/>
              <w:jc w:val="both"/>
              <w:rPr>
                <w:rFonts w:ascii="Cambria" w:hAnsi="Cambria" w:cs="Calibri"/>
              </w:rPr>
            </w:pPr>
            <w:r w:rsidRPr="00FB02B7">
              <w:rPr>
                <w:rFonts w:ascii="Cambria" w:hAnsi="Cambria" w:cs="Calibri"/>
                <w:sz w:val="22"/>
                <w:szCs w:val="22"/>
              </w:rPr>
              <w:t xml:space="preserve">The success of this course depends on the students’ individual and collective contribution to the class discussions. Students are expected to participate voluntarily, or will be called upon, to contribute to set exercises and problems. Students are also expected to read the assigned readings and prepare the cases before each class so that they could contribute effectively to class discussions. Students must attempt assignments by their own. </w:t>
            </w:r>
            <w:r w:rsidRPr="00FB02B7">
              <w:rPr>
                <w:rFonts w:ascii="Cambria" w:eastAsia="Calibri" w:hAnsi="Cambria" w:cs="Calibri"/>
                <w:sz w:val="22"/>
                <w:szCs w:val="22"/>
              </w:rPr>
              <w:t xml:space="preserve">Proficiency in this course comes from individual knowledge and understanding. </w:t>
            </w:r>
            <w:r w:rsidRPr="00FB02B7">
              <w:rPr>
                <w:rFonts w:ascii="Cambria" w:hAnsi="Cambria" w:cs="Calibri"/>
                <w:sz w:val="22"/>
                <w:szCs w:val="22"/>
              </w:rPr>
              <w:t>Copying the works of others is considered as serious offence and leads to disciplinary actions.</w:t>
            </w:r>
          </w:p>
        </w:tc>
      </w:tr>
      <w:tr w:rsidR="001C2BB1" w:rsidRPr="00FB02B7" w:rsidTr="001F3695">
        <w:trPr>
          <w:trHeight w:val="142"/>
        </w:trPr>
        <w:tc>
          <w:tcPr>
            <w:tcW w:w="2047" w:type="dxa"/>
          </w:tcPr>
          <w:p w:rsidR="001C2BB1" w:rsidRPr="00FB02B7" w:rsidRDefault="001C2BB1" w:rsidP="001F3695">
            <w:pPr>
              <w:ind w:right="194"/>
              <w:rPr>
                <w:rFonts w:ascii="Cambria" w:hAnsi="Cambria" w:cs="Calibri"/>
              </w:rPr>
            </w:pPr>
          </w:p>
          <w:p w:rsidR="001C2BB1" w:rsidRPr="00FB02B7" w:rsidRDefault="001C2BB1" w:rsidP="001F3695">
            <w:pPr>
              <w:ind w:right="194"/>
              <w:jc w:val="both"/>
              <w:rPr>
                <w:rFonts w:ascii="Cambria" w:hAnsi="Cambria" w:cs="Calibri"/>
                <w:sz w:val="16"/>
                <w:szCs w:val="16"/>
              </w:rPr>
            </w:pPr>
            <w:r w:rsidRPr="00FB02B7">
              <w:rPr>
                <w:rFonts w:ascii="Cambria" w:hAnsi="Cambria" w:cs="Calibri"/>
                <w:sz w:val="22"/>
                <w:szCs w:val="22"/>
              </w:rPr>
              <w:t>Text and reference books</w:t>
            </w:r>
          </w:p>
        </w:tc>
        <w:tc>
          <w:tcPr>
            <w:tcW w:w="7830" w:type="dxa"/>
            <w:gridSpan w:val="3"/>
          </w:tcPr>
          <w:p w:rsidR="001C2BB1" w:rsidRPr="00FB02B7" w:rsidRDefault="001C2BB1" w:rsidP="001F3695">
            <w:pPr>
              <w:ind w:right="194"/>
              <w:jc w:val="both"/>
              <w:rPr>
                <w:rFonts w:ascii="Cambria" w:hAnsi="Cambria" w:cs="Calibri"/>
                <w:b/>
                <w:u w:val="single"/>
              </w:rPr>
            </w:pPr>
            <w:r w:rsidRPr="00FB02B7">
              <w:rPr>
                <w:rFonts w:ascii="Cambria" w:hAnsi="Cambria" w:cs="Calibri"/>
                <w:b/>
                <w:sz w:val="22"/>
                <w:szCs w:val="22"/>
                <w:u w:val="single"/>
              </w:rPr>
              <w:t>Text Book:</w:t>
            </w:r>
          </w:p>
          <w:p w:rsidR="001C2BB1" w:rsidRPr="00FB02B7" w:rsidRDefault="001C2BB1" w:rsidP="001C2BB1">
            <w:pPr>
              <w:pStyle w:val="ListParagraph"/>
              <w:numPr>
                <w:ilvl w:val="0"/>
                <w:numId w:val="1"/>
              </w:numPr>
              <w:ind w:left="185" w:right="194" w:hanging="185"/>
              <w:jc w:val="both"/>
              <w:rPr>
                <w:rFonts w:ascii="Cambria" w:hAnsi="Cambria" w:cs="Calibri"/>
                <w:lang w:val="en-US" w:eastAsia="en-US"/>
              </w:rPr>
            </w:pPr>
            <w:r w:rsidRPr="00FB02B7">
              <w:rPr>
                <w:rFonts w:ascii="Cambria" w:hAnsi="Cambria" w:cs="Calibri"/>
                <w:lang w:val="en-US" w:eastAsia="en-US"/>
              </w:rPr>
              <w:t xml:space="preserve"> Fees and warren, </w:t>
            </w:r>
            <w:r w:rsidRPr="00FB02B7">
              <w:rPr>
                <w:rFonts w:ascii="Cambria" w:hAnsi="Cambria" w:cs="Calibri"/>
                <w:b/>
                <w:bCs/>
                <w:lang w:val="en-US" w:eastAsia="en-US"/>
              </w:rPr>
              <w:t>Accounting Principles</w:t>
            </w:r>
            <w:r w:rsidRPr="00FB02B7">
              <w:rPr>
                <w:rFonts w:ascii="Cambria" w:hAnsi="Cambria" w:cs="Calibri"/>
                <w:lang w:val="en-US" w:eastAsia="en-US"/>
              </w:rPr>
              <w:t>, 16</w:t>
            </w:r>
            <w:r w:rsidRPr="00FB02B7">
              <w:rPr>
                <w:rFonts w:ascii="Cambria" w:hAnsi="Cambria" w:cs="Calibri"/>
                <w:vertAlign w:val="superscript"/>
                <w:lang w:val="en-US" w:eastAsia="en-US"/>
              </w:rPr>
              <w:t>th</w:t>
            </w:r>
            <w:r w:rsidRPr="00FB02B7">
              <w:rPr>
                <w:rFonts w:ascii="Cambria" w:hAnsi="Cambria" w:cs="Calibri"/>
                <w:lang w:val="en-US" w:eastAsia="en-US"/>
              </w:rPr>
              <w:t xml:space="preserve"> edition, South Western publishing Company. / Any recent edition/</w:t>
            </w:r>
          </w:p>
          <w:p w:rsidR="001C2BB1" w:rsidRPr="00FB02B7" w:rsidRDefault="001C2BB1" w:rsidP="001F3695">
            <w:pPr>
              <w:ind w:right="194"/>
              <w:jc w:val="both"/>
              <w:rPr>
                <w:rFonts w:ascii="Cambria" w:hAnsi="Cambria" w:cs="Calibri"/>
                <w:b/>
                <w:u w:val="single"/>
              </w:rPr>
            </w:pPr>
            <w:r w:rsidRPr="00FB02B7">
              <w:rPr>
                <w:rFonts w:ascii="Cambria" w:hAnsi="Cambria" w:cs="Calibri"/>
                <w:b/>
                <w:sz w:val="22"/>
                <w:szCs w:val="22"/>
                <w:u w:val="single"/>
              </w:rPr>
              <w:t>Reference Books</w:t>
            </w:r>
          </w:p>
          <w:p w:rsidR="001C2BB1" w:rsidRPr="00FB02B7" w:rsidRDefault="001C2BB1" w:rsidP="001C2BB1">
            <w:pPr>
              <w:pStyle w:val="ListParagraph"/>
              <w:numPr>
                <w:ilvl w:val="0"/>
                <w:numId w:val="1"/>
              </w:numPr>
              <w:ind w:left="185" w:right="194" w:hanging="185"/>
              <w:jc w:val="both"/>
              <w:rPr>
                <w:rFonts w:ascii="Cambria" w:hAnsi="Cambria" w:cs="Calibri"/>
                <w:lang w:val="en-US" w:eastAsia="en-US"/>
              </w:rPr>
            </w:pPr>
            <w:r w:rsidRPr="00FB02B7">
              <w:rPr>
                <w:rFonts w:ascii="Cambria" w:hAnsi="Cambria" w:cs="Calibri"/>
                <w:lang w:val="en-US" w:eastAsia="en-US"/>
              </w:rPr>
              <w:t>Smith, Keith &amp; Stephens, Accounting Principles, 3rd edition and above, McGraw Hill book Company.1989 and beyond.</w:t>
            </w:r>
          </w:p>
          <w:p w:rsidR="001C2BB1" w:rsidRPr="00FB02B7" w:rsidRDefault="001C2BB1" w:rsidP="001C2BB1">
            <w:pPr>
              <w:pStyle w:val="ListParagraph"/>
              <w:numPr>
                <w:ilvl w:val="0"/>
                <w:numId w:val="1"/>
              </w:numPr>
              <w:ind w:left="185" w:right="194" w:hanging="185"/>
              <w:jc w:val="both"/>
              <w:rPr>
                <w:rFonts w:ascii="Cambria" w:hAnsi="Cambria" w:cs="Calibri"/>
                <w:lang w:val="en-US" w:eastAsia="en-US"/>
              </w:rPr>
            </w:pPr>
            <w:proofErr w:type="spellStart"/>
            <w:r w:rsidRPr="00FB02B7">
              <w:rPr>
                <w:rFonts w:ascii="Cambria" w:hAnsi="Cambria" w:cs="Calibri"/>
                <w:lang w:val="en-US" w:eastAsia="en-US"/>
              </w:rPr>
              <w:t>Hermanson</w:t>
            </w:r>
            <w:proofErr w:type="spellEnd"/>
            <w:r w:rsidRPr="00FB02B7">
              <w:rPr>
                <w:rFonts w:ascii="Cambria" w:hAnsi="Cambria" w:cs="Calibri"/>
                <w:lang w:val="en-US" w:eastAsia="en-US"/>
              </w:rPr>
              <w:t xml:space="preserve">, Edwards and </w:t>
            </w:r>
            <w:proofErr w:type="spellStart"/>
            <w:r w:rsidRPr="00FB02B7">
              <w:rPr>
                <w:rFonts w:ascii="Cambria" w:hAnsi="Cambria" w:cs="Calibri"/>
                <w:lang w:val="en-US" w:eastAsia="en-US"/>
              </w:rPr>
              <w:t>Salmonson</w:t>
            </w:r>
            <w:proofErr w:type="spellEnd"/>
            <w:r w:rsidRPr="00FB02B7">
              <w:rPr>
                <w:rFonts w:ascii="Cambria" w:hAnsi="Cambria" w:cs="Calibri"/>
                <w:lang w:val="en-US" w:eastAsia="en-US"/>
              </w:rPr>
              <w:t>, Accounting Principles, 4th ed., Richard D. Irwin, Inc. 1989.</w:t>
            </w:r>
          </w:p>
          <w:p w:rsidR="001C2BB1" w:rsidRPr="00FB02B7" w:rsidRDefault="001C2BB1" w:rsidP="001C2BB1">
            <w:pPr>
              <w:pStyle w:val="ListParagraph"/>
              <w:numPr>
                <w:ilvl w:val="0"/>
                <w:numId w:val="1"/>
              </w:numPr>
              <w:ind w:left="185" w:right="194" w:hanging="185"/>
              <w:jc w:val="both"/>
              <w:rPr>
                <w:rFonts w:ascii="Cambria" w:hAnsi="Cambria" w:cs="Calibri"/>
                <w:lang w:val="en-US" w:eastAsia="en-US"/>
              </w:rPr>
            </w:pPr>
            <w:r w:rsidRPr="00FB02B7">
              <w:rPr>
                <w:rFonts w:ascii="Cambria" w:hAnsi="Cambria" w:cs="Calibri"/>
                <w:lang w:val="en-US" w:eastAsia="en-US"/>
              </w:rPr>
              <w:t>Larson, Kermit D., Fundamental Accounting Principles, 12th edition and above, Richard Irwin Inc., 1990 and beyond.</w:t>
            </w:r>
          </w:p>
          <w:p w:rsidR="001C2BB1" w:rsidRPr="00FB02B7" w:rsidRDefault="001C2BB1" w:rsidP="001C2BB1">
            <w:pPr>
              <w:pStyle w:val="ListParagraph"/>
              <w:numPr>
                <w:ilvl w:val="0"/>
                <w:numId w:val="1"/>
              </w:numPr>
              <w:ind w:left="185" w:right="194" w:hanging="185"/>
              <w:jc w:val="both"/>
              <w:rPr>
                <w:rFonts w:ascii="Cambria" w:hAnsi="Cambria" w:cs="Calibri"/>
                <w:lang w:val="en-US" w:eastAsia="en-US"/>
              </w:rPr>
            </w:pPr>
            <w:proofErr w:type="spellStart"/>
            <w:r w:rsidRPr="00FB02B7">
              <w:rPr>
                <w:rFonts w:ascii="Cambria" w:hAnsi="Cambria" w:cs="Calibri"/>
                <w:lang w:val="en-US" w:eastAsia="en-US"/>
              </w:rPr>
              <w:t>Meigs</w:t>
            </w:r>
            <w:proofErr w:type="spellEnd"/>
            <w:r w:rsidRPr="00FB02B7">
              <w:rPr>
                <w:rFonts w:ascii="Cambria" w:hAnsi="Cambria" w:cs="Calibri"/>
                <w:lang w:val="en-US" w:eastAsia="en-US"/>
              </w:rPr>
              <w:t xml:space="preserve"> Walter B., Accounting, </w:t>
            </w:r>
            <w:proofErr w:type="gramStart"/>
            <w:r w:rsidRPr="00FB02B7">
              <w:rPr>
                <w:rFonts w:ascii="Cambria" w:hAnsi="Cambria" w:cs="Calibri"/>
                <w:lang w:val="en-US" w:eastAsia="en-US"/>
              </w:rPr>
              <w:t>The</w:t>
            </w:r>
            <w:proofErr w:type="gramEnd"/>
            <w:r w:rsidRPr="00FB02B7">
              <w:rPr>
                <w:rFonts w:ascii="Cambria" w:hAnsi="Cambria" w:cs="Calibri"/>
                <w:lang w:val="en-US" w:eastAsia="en-US"/>
              </w:rPr>
              <w:t xml:space="preserve"> Basis for Business Decisions, 6th Ed and above, McGraw-Hill International Book Company, 1984 and beyond.</w:t>
            </w:r>
          </w:p>
          <w:p w:rsidR="001C2BB1" w:rsidRPr="00FB02B7" w:rsidRDefault="001C2BB1" w:rsidP="001C2BB1">
            <w:pPr>
              <w:pStyle w:val="ListParagraph"/>
              <w:numPr>
                <w:ilvl w:val="0"/>
                <w:numId w:val="1"/>
              </w:numPr>
              <w:ind w:left="185" w:right="194" w:hanging="185"/>
              <w:jc w:val="both"/>
              <w:rPr>
                <w:rFonts w:ascii="Cambria" w:hAnsi="Cambria" w:cs="Calibri"/>
                <w:b/>
                <w:bCs/>
                <w:i/>
                <w:lang w:val="en-US" w:eastAsia="en-US"/>
              </w:rPr>
            </w:pPr>
            <w:proofErr w:type="spellStart"/>
            <w:r w:rsidRPr="00FB02B7">
              <w:rPr>
                <w:rFonts w:ascii="Cambria" w:hAnsi="Cambria" w:cs="Calibri"/>
                <w:lang w:val="en-US" w:eastAsia="en-US"/>
              </w:rPr>
              <w:t>Niswonger</w:t>
            </w:r>
            <w:proofErr w:type="spellEnd"/>
            <w:r w:rsidRPr="00FB02B7">
              <w:rPr>
                <w:rFonts w:ascii="Cambria" w:hAnsi="Cambria" w:cs="Calibri"/>
                <w:lang w:val="en-US" w:eastAsia="en-US"/>
              </w:rPr>
              <w:t xml:space="preserve"> and Fees, Accounting Principles, South Western Publishing Company 10</w:t>
            </w:r>
            <w:r w:rsidRPr="00FB02B7">
              <w:rPr>
                <w:rFonts w:ascii="Cambria" w:hAnsi="Cambria" w:cs="Calibri"/>
                <w:vertAlign w:val="superscript"/>
                <w:lang w:val="en-US" w:eastAsia="en-US"/>
              </w:rPr>
              <w:t>th</w:t>
            </w:r>
            <w:r w:rsidRPr="00FB02B7">
              <w:rPr>
                <w:rFonts w:ascii="Cambria" w:hAnsi="Cambria" w:cs="Calibri"/>
                <w:lang w:val="en-US" w:eastAsia="en-US"/>
              </w:rPr>
              <w:t xml:space="preserve"> – 13</w:t>
            </w:r>
            <w:r w:rsidRPr="00FB02B7">
              <w:rPr>
                <w:rFonts w:ascii="Cambria" w:hAnsi="Cambria" w:cs="Calibri"/>
                <w:vertAlign w:val="superscript"/>
                <w:lang w:val="en-US" w:eastAsia="en-US"/>
              </w:rPr>
              <w:t>th</w:t>
            </w:r>
            <w:r w:rsidRPr="00FB02B7">
              <w:rPr>
                <w:rFonts w:ascii="Cambria" w:hAnsi="Cambria" w:cs="Calibri"/>
                <w:lang w:val="en-US" w:eastAsia="en-US"/>
              </w:rPr>
              <w:t xml:space="preserve"> Ed.</w:t>
            </w:r>
          </w:p>
          <w:p w:rsidR="001C2BB1" w:rsidRPr="00FB02B7" w:rsidRDefault="001C2BB1" w:rsidP="001F3695">
            <w:pPr>
              <w:pStyle w:val="ListParagraph"/>
              <w:ind w:left="185" w:right="194"/>
              <w:jc w:val="both"/>
              <w:rPr>
                <w:rFonts w:ascii="Cambria" w:hAnsi="Cambria" w:cs="Calibri"/>
                <w:lang w:val="en-US" w:eastAsia="en-US"/>
              </w:rPr>
            </w:pPr>
          </w:p>
        </w:tc>
      </w:tr>
    </w:tbl>
    <w:p w:rsidR="00E622AE" w:rsidRDefault="00E622AE"/>
    <w:sectPr w:rsidR="00E62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DB7"/>
    <w:multiLevelType w:val="hybridMultilevel"/>
    <w:tmpl w:val="6CBABE50"/>
    <w:lvl w:ilvl="0" w:tplc="F8081352">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F476D7"/>
    <w:multiLevelType w:val="multilevel"/>
    <w:tmpl w:val="F64C6974"/>
    <w:lvl w:ilvl="0">
      <w:start w:val="1"/>
      <w:numFmt w:val="decimal"/>
      <w:lvlText w:val="%1."/>
      <w:lvlJc w:val="left"/>
      <w:pPr>
        <w:ind w:left="360" w:hanging="360"/>
      </w:pPr>
    </w:lvl>
    <w:lvl w:ilvl="1">
      <w:start w:val="1"/>
      <w:numFmt w:val="decimal"/>
      <w:isLgl/>
      <w:lvlText w:val="%1.%2."/>
      <w:lvlJc w:val="left"/>
      <w:pPr>
        <w:ind w:left="643"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256D05AE"/>
    <w:multiLevelType w:val="hybridMultilevel"/>
    <w:tmpl w:val="0DD0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9C1E4B"/>
    <w:multiLevelType w:val="hybridMultilevel"/>
    <w:tmpl w:val="CC1A7D2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69A297F"/>
    <w:multiLevelType w:val="hybridMultilevel"/>
    <w:tmpl w:val="5D04FEE4"/>
    <w:lvl w:ilvl="0" w:tplc="5D109FC2">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D86763"/>
    <w:multiLevelType w:val="hybridMultilevel"/>
    <w:tmpl w:val="BF90AA28"/>
    <w:lvl w:ilvl="0" w:tplc="83D87C80">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BB1"/>
    <w:rsid w:val="001C2BB1"/>
    <w:rsid w:val="004F27D4"/>
    <w:rsid w:val="00511FDF"/>
    <w:rsid w:val="005A372B"/>
    <w:rsid w:val="006B3FC5"/>
    <w:rsid w:val="006B7500"/>
    <w:rsid w:val="008E0772"/>
    <w:rsid w:val="008E0DB8"/>
    <w:rsid w:val="00E62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B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C2BB1"/>
    <w:pPr>
      <w:ind w:left="720"/>
      <w:contextualSpacing/>
    </w:pPr>
    <w:rPr>
      <w:lang w:val="x-none" w:eastAsia="x-none"/>
    </w:rPr>
  </w:style>
  <w:style w:type="paragraph" w:styleId="NormalWeb">
    <w:name w:val="Normal (Web)"/>
    <w:basedOn w:val="Normal"/>
    <w:link w:val="NormalWebChar"/>
    <w:unhideWhenUsed/>
    <w:rsid w:val="001C2BB1"/>
    <w:pPr>
      <w:spacing w:before="100" w:beforeAutospacing="1" w:after="100" w:afterAutospacing="1"/>
    </w:pPr>
    <w:rPr>
      <w:lang w:val="x-none" w:eastAsia="x-none"/>
    </w:rPr>
  </w:style>
  <w:style w:type="character" w:customStyle="1" w:styleId="NormalWebChar">
    <w:name w:val="Normal (Web) Char"/>
    <w:link w:val="NormalWeb"/>
    <w:rsid w:val="001C2BB1"/>
    <w:rPr>
      <w:rFonts w:ascii="Times New Roman" w:eastAsia="Times New Roman" w:hAnsi="Times New Roman" w:cs="Times New Roman"/>
      <w:sz w:val="24"/>
      <w:szCs w:val="24"/>
      <w:lang w:val="x-none" w:eastAsia="x-none"/>
    </w:rPr>
  </w:style>
  <w:style w:type="character" w:customStyle="1" w:styleId="ListParagraphChar">
    <w:name w:val="List Paragraph Char"/>
    <w:link w:val="ListParagraph"/>
    <w:uiPriority w:val="34"/>
    <w:rsid w:val="001C2BB1"/>
    <w:rPr>
      <w:rFonts w:ascii="Times New Roman" w:eastAsia="Times New Roman" w:hAnsi="Times New Roman" w:cs="Times New Roman"/>
      <w:sz w:val="24"/>
      <w:szCs w:val="24"/>
      <w:lang w:val="x-none" w:eastAsia="x-none"/>
    </w:rPr>
  </w:style>
  <w:style w:type="paragraph" w:customStyle="1" w:styleId="Default">
    <w:name w:val="Default"/>
    <w:rsid w:val="001C2BB1"/>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6B3F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FC5"/>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B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C2BB1"/>
    <w:pPr>
      <w:ind w:left="720"/>
      <w:contextualSpacing/>
    </w:pPr>
    <w:rPr>
      <w:lang w:val="x-none" w:eastAsia="x-none"/>
    </w:rPr>
  </w:style>
  <w:style w:type="paragraph" w:styleId="NormalWeb">
    <w:name w:val="Normal (Web)"/>
    <w:basedOn w:val="Normal"/>
    <w:link w:val="NormalWebChar"/>
    <w:unhideWhenUsed/>
    <w:rsid w:val="001C2BB1"/>
    <w:pPr>
      <w:spacing w:before="100" w:beforeAutospacing="1" w:after="100" w:afterAutospacing="1"/>
    </w:pPr>
    <w:rPr>
      <w:lang w:val="x-none" w:eastAsia="x-none"/>
    </w:rPr>
  </w:style>
  <w:style w:type="character" w:customStyle="1" w:styleId="NormalWebChar">
    <w:name w:val="Normal (Web) Char"/>
    <w:link w:val="NormalWeb"/>
    <w:rsid w:val="001C2BB1"/>
    <w:rPr>
      <w:rFonts w:ascii="Times New Roman" w:eastAsia="Times New Roman" w:hAnsi="Times New Roman" w:cs="Times New Roman"/>
      <w:sz w:val="24"/>
      <w:szCs w:val="24"/>
      <w:lang w:val="x-none" w:eastAsia="x-none"/>
    </w:rPr>
  </w:style>
  <w:style w:type="character" w:customStyle="1" w:styleId="ListParagraphChar">
    <w:name w:val="List Paragraph Char"/>
    <w:link w:val="ListParagraph"/>
    <w:uiPriority w:val="34"/>
    <w:rsid w:val="001C2BB1"/>
    <w:rPr>
      <w:rFonts w:ascii="Times New Roman" w:eastAsia="Times New Roman" w:hAnsi="Times New Roman" w:cs="Times New Roman"/>
      <w:sz w:val="24"/>
      <w:szCs w:val="24"/>
      <w:lang w:val="x-none" w:eastAsia="x-none"/>
    </w:rPr>
  </w:style>
  <w:style w:type="paragraph" w:customStyle="1" w:styleId="Default">
    <w:name w:val="Default"/>
    <w:rsid w:val="001C2BB1"/>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6B3F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F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Tame</dc:creator>
  <cp:lastModifiedBy>ismail - [2010]</cp:lastModifiedBy>
  <cp:revision>2</cp:revision>
  <cp:lastPrinted>2019-10-14T08:11:00Z</cp:lastPrinted>
  <dcterms:created xsi:type="dcterms:W3CDTF">2020-04-27T07:02:00Z</dcterms:created>
  <dcterms:modified xsi:type="dcterms:W3CDTF">2020-04-27T07:02:00Z</dcterms:modified>
</cp:coreProperties>
</file>